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A909CA" w14:textId="1EBCB1C4" w:rsidR="0022039B" w:rsidRDefault="00A33A2B" w:rsidP="0022039B">
      <w:pPr>
        <w:jc w:val="center"/>
        <w:rPr>
          <w:b/>
          <w:u w:val="single"/>
        </w:rPr>
      </w:pPr>
      <w:r w:rsidRPr="009D7D6B">
        <w:rPr>
          <w:b/>
          <w:u w:val="single"/>
        </w:rPr>
        <w:t xml:space="preserve">P3 </w:t>
      </w:r>
      <w:r w:rsidR="006A00D9">
        <w:rPr>
          <w:b/>
          <w:u w:val="single"/>
        </w:rPr>
        <w:t>Risk Assessment</w:t>
      </w:r>
      <w:r w:rsidR="00FC19EB">
        <w:rPr>
          <w:b/>
          <w:u w:val="single"/>
        </w:rPr>
        <w:t xml:space="preserve"> Exercise</w:t>
      </w:r>
    </w:p>
    <w:p w14:paraId="2A88D6B3" w14:textId="797F5CEB" w:rsidR="0042183E" w:rsidRPr="002F4CB8" w:rsidRDefault="002F4CB8" w:rsidP="002F4CB8">
      <w:pPr>
        <w:jc w:val="center"/>
        <w:rPr>
          <w:b/>
          <w:color w:val="FF0000"/>
        </w:rPr>
      </w:pPr>
      <w:r>
        <w:rPr>
          <w:b/>
          <w:color w:val="FF0000"/>
        </w:rPr>
        <w:t>ANSWERS SHOWN IN BOLD RED FONT</w:t>
      </w:r>
    </w:p>
    <w:p w14:paraId="0CE96B45" w14:textId="77777777" w:rsidR="0022039B" w:rsidRPr="0022039B" w:rsidRDefault="0022039B" w:rsidP="0022039B">
      <w:pPr>
        <w:rPr>
          <w:b/>
          <w:u w:val="single"/>
        </w:rPr>
      </w:pPr>
      <w:r>
        <w:rPr>
          <w:b/>
          <w:u w:val="single"/>
        </w:rPr>
        <w:t>Objectives of this exercise</w:t>
      </w:r>
    </w:p>
    <w:p w14:paraId="4784FFCC" w14:textId="12B4ACF2" w:rsidR="00C05679" w:rsidRPr="00C05679" w:rsidRDefault="00C05679" w:rsidP="00BA4BC6">
      <w:pPr>
        <w:pStyle w:val="ListParagraph"/>
        <w:numPr>
          <w:ilvl w:val="0"/>
          <w:numId w:val="5"/>
        </w:numPr>
      </w:pPr>
      <w:r w:rsidRPr="00C05679">
        <w:t xml:space="preserve">Learn how to estimate, for </w:t>
      </w:r>
      <w:r w:rsidR="00822667">
        <w:t xml:space="preserve">use in </w:t>
      </w:r>
      <w:r w:rsidRPr="00C05679">
        <w:t>VfM analysis</w:t>
      </w:r>
      <w:r>
        <w:t xml:space="preserve">, </w:t>
      </w:r>
      <w:r w:rsidR="00822667">
        <w:t xml:space="preserve">the cost impacts of </w:t>
      </w:r>
      <w:r>
        <w:t>b</w:t>
      </w:r>
      <w:r w:rsidRPr="00C05679">
        <w:t xml:space="preserve">ase </w:t>
      </w:r>
      <w:r w:rsidR="00822667">
        <w:t xml:space="preserve">cost </w:t>
      </w:r>
      <w:r w:rsidRPr="00C05679">
        <w:t>variability, pure risk</w:t>
      </w:r>
      <w:r w:rsidR="00822667">
        <w:t>s,</w:t>
      </w:r>
      <w:r w:rsidRPr="00C05679">
        <w:t xml:space="preserve"> lifecycle performance risk</w:t>
      </w:r>
      <w:r w:rsidR="00822667">
        <w:t>s</w:t>
      </w:r>
      <w:r w:rsidRPr="00C05679">
        <w:t xml:space="preserve">, </w:t>
      </w:r>
      <w:r w:rsidR="00822667">
        <w:t xml:space="preserve">and </w:t>
      </w:r>
      <w:r w:rsidRPr="00C05679">
        <w:t xml:space="preserve">revenue risk uncertainty adjustments; </w:t>
      </w:r>
      <w:r w:rsidR="00822667">
        <w:t xml:space="preserve">as well </w:t>
      </w:r>
      <w:proofErr w:type="gramStart"/>
      <w:r w:rsidR="00822667">
        <w:t>as</w:t>
      </w:r>
      <w:r w:rsidRPr="00C05679">
        <w:t xml:space="preserve"> </w:t>
      </w:r>
      <w:r>
        <w:t xml:space="preserve"> t</w:t>
      </w:r>
      <w:r w:rsidRPr="00C05679">
        <w:t>he</w:t>
      </w:r>
      <w:proofErr w:type="gramEnd"/>
      <w:r w:rsidRPr="00C05679">
        <w:t xml:space="preserve"> value of risks retained by the public agency and </w:t>
      </w:r>
      <w:r w:rsidR="00822667">
        <w:t xml:space="preserve">those </w:t>
      </w:r>
      <w:r w:rsidRPr="00C05679">
        <w:t>transferred to the concessionaire under a P3</w:t>
      </w:r>
      <w:r w:rsidR="00822667">
        <w:t>.</w:t>
      </w:r>
    </w:p>
    <w:p w14:paraId="044634ED" w14:textId="273DFAD7" w:rsidR="00C05679" w:rsidRPr="00C05679" w:rsidRDefault="00C05679" w:rsidP="00BA4BC6">
      <w:pPr>
        <w:numPr>
          <w:ilvl w:val="0"/>
          <w:numId w:val="5"/>
        </w:numPr>
      </w:pPr>
      <w:r w:rsidRPr="00C05679">
        <w:t xml:space="preserve">Learn how to estimate </w:t>
      </w:r>
      <w:r w:rsidR="00822667">
        <w:t xml:space="preserve">the value of risks </w:t>
      </w:r>
      <w:r w:rsidRPr="00C05679">
        <w:t xml:space="preserve">for </w:t>
      </w:r>
      <w:r w:rsidR="00822667">
        <w:t xml:space="preserve">use in </w:t>
      </w:r>
      <w:r w:rsidRPr="00C05679">
        <w:t xml:space="preserve">benefit-cost analysis. </w:t>
      </w:r>
    </w:p>
    <w:p w14:paraId="14692D2F" w14:textId="08910A8E" w:rsidR="00C05679" w:rsidRPr="00C05679" w:rsidRDefault="00C05679" w:rsidP="00BA4BC6">
      <w:pPr>
        <w:numPr>
          <w:ilvl w:val="0"/>
          <w:numId w:val="5"/>
        </w:numPr>
      </w:pPr>
      <w:r w:rsidRPr="00C05679">
        <w:t xml:space="preserve">Be able to explain the role of financial conditions in developing a market-based estimate of </w:t>
      </w:r>
      <w:r w:rsidR="00822667">
        <w:t xml:space="preserve">the costs of </w:t>
      </w:r>
      <w:r w:rsidRPr="00C05679">
        <w:t>lifecycle performance risk</w:t>
      </w:r>
      <w:r w:rsidR="00822667">
        <w:t>s</w:t>
      </w:r>
      <w:r w:rsidRPr="00C05679">
        <w:t xml:space="preserve"> and revenue uncertainty</w:t>
      </w:r>
      <w:r w:rsidR="00822667">
        <w:t>.</w:t>
      </w:r>
    </w:p>
    <w:p w14:paraId="6A092BD9" w14:textId="77777777" w:rsidR="0022039B" w:rsidRPr="0022039B" w:rsidRDefault="0022039B" w:rsidP="0022039B">
      <w:pPr>
        <w:rPr>
          <w:b/>
          <w:u w:val="single"/>
        </w:rPr>
      </w:pPr>
      <w:r w:rsidRPr="0022039B">
        <w:rPr>
          <w:b/>
          <w:u w:val="single"/>
        </w:rPr>
        <w:t>Project Background</w:t>
      </w:r>
    </w:p>
    <w:p w14:paraId="7CE404C9" w14:textId="017ADE1E" w:rsidR="0022039B" w:rsidRPr="0022039B" w:rsidRDefault="0022039B">
      <w:r w:rsidRPr="0022039B">
        <w:t xml:space="preserve">A study was done previously by a state DOT to estimate Value for Money </w:t>
      </w:r>
      <w:r w:rsidR="00822667">
        <w:t xml:space="preserve">and net social benefits </w:t>
      </w:r>
      <w:r w:rsidRPr="0022039B">
        <w:t>of P3 delivery for a highway project. The various inputs required for the analysis are included in the P3-VALUE 2.0 spreadsheet model.</w:t>
      </w:r>
      <w:r>
        <w:t xml:space="preserve">  </w:t>
      </w:r>
      <w:r w:rsidRPr="0022039B">
        <w:t>The project information is as follows:</w:t>
      </w:r>
    </w:p>
    <w:p w14:paraId="529894DF" w14:textId="77777777" w:rsidR="00315FEC" w:rsidRPr="0022039B" w:rsidRDefault="00556929" w:rsidP="00BA4BC6">
      <w:pPr>
        <w:numPr>
          <w:ilvl w:val="0"/>
          <w:numId w:val="1"/>
        </w:numPr>
        <w:spacing w:after="100" w:afterAutospacing="1"/>
      </w:pPr>
      <w:r w:rsidRPr="0022039B">
        <w:t>20 miles highway expansion</w:t>
      </w:r>
    </w:p>
    <w:p w14:paraId="4294009C" w14:textId="77777777" w:rsidR="00315FEC" w:rsidRPr="0022039B" w:rsidRDefault="007F7ABF" w:rsidP="00BA4BC6">
      <w:pPr>
        <w:numPr>
          <w:ilvl w:val="0"/>
          <w:numId w:val="1"/>
        </w:numPr>
        <w:spacing w:after="100" w:afterAutospacing="1"/>
      </w:pPr>
      <w:r>
        <w:t>Expansion fr</w:t>
      </w:r>
      <w:r w:rsidR="00556929" w:rsidRPr="0022039B">
        <w:t>om 3 lanes to 5 lanes in each direction</w:t>
      </w:r>
      <w:r w:rsidR="00F22810">
        <w:t>:</w:t>
      </w:r>
    </w:p>
    <w:p w14:paraId="42E83318" w14:textId="77777777" w:rsidR="00315FEC" w:rsidRPr="0022039B" w:rsidRDefault="00556929" w:rsidP="00BA4BC6">
      <w:pPr>
        <w:numPr>
          <w:ilvl w:val="1"/>
          <w:numId w:val="1"/>
        </w:numPr>
        <w:spacing w:after="100" w:afterAutospacing="1"/>
      </w:pPr>
      <w:r w:rsidRPr="0022039B">
        <w:t>3 General Purpose Lanes (GPL)</w:t>
      </w:r>
    </w:p>
    <w:p w14:paraId="60FCF210" w14:textId="77777777" w:rsidR="00315FEC" w:rsidRPr="0022039B" w:rsidRDefault="00556929" w:rsidP="00BA4BC6">
      <w:pPr>
        <w:numPr>
          <w:ilvl w:val="1"/>
          <w:numId w:val="1"/>
        </w:numPr>
        <w:spacing w:after="100" w:afterAutospacing="1"/>
      </w:pPr>
      <w:r w:rsidRPr="0022039B">
        <w:t>2 Managed Lanes (ML)</w:t>
      </w:r>
    </w:p>
    <w:p w14:paraId="62DF418D" w14:textId="77777777" w:rsidR="00315FEC" w:rsidRPr="0022039B" w:rsidRDefault="00556929" w:rsidP="00BA4BC6">
      <w:pPr>
        <w:numPr>
          <w:ilvl w:val="0"/>
          <w:numId w:val="1"/>
        </w:numPr>
        <w:spacing w:after="100" w:afterAutospacing="1"/>
      </w:pPr>
      <w:r w:rsidRPr="0022039B">
        <w:t xml:space="preserve">Costs </w:t>
      </w:r>
      <w:r w:rsidR="007F7ABF">
        <w:t xml:space="preserve">under PSC </w:t>
      </w:r>
      <w:r w:rsidRPr="0022039B">
        <w:t>(excluding risks and financing):</w:t>
      </w:r>
    </w:p>
    <w:p w14:paraId="29E2B416" w14:textId="77777777" w:rsidR="00315FEC" w:rsidRPr="0022039B" w:rsidRDefault="00556929" w:rsidP="00BA4BC6">
      <w:pPr>
        <w:numPr>
          <w:ilvl w:val="1"/>
          <w:numId w:val="1"/>
        </w:numPr>
        <w:spacing w:after="100" w:afterAutospacing="1"/>
      </w:pPr>
      <w:r w:rsidRPr="0022039B">
        <w:t>P</w:t>
      </w:r>
      <w:r w:rsidR="0022039B">
        <w:t xml:space="preserve">re-construction &amp; construction:  </w:t>
      </w:r>
      <w:r w:rsidR="007F7ABF">
        <w:t xml:space="preserve">$25M and </w:t>
      </w:r>
      <w:r w:rsidRPr="0022039B">
        <w:t>$</w:t>
      </w:r>
      <w:r w:rsidR="007F7ABF">
        <w:t>4</w:t>
      </w:r>
      <w:r w:rsidRPr="0022039B">
        <w:t>00M</w:t>
      </w:r>
      <w:r w:rsidR="007F7ABF">
        <w:t xml:space="preserve"> respectively</w:t>
      </w:r>
    </w:p>
    <w:p w14:paraId="79237F1D" w14:textId="77777777" w:rsidR="00315FEC" w:rsidRPr="0022039B" w:rsidRDefault="00556929" w:rsidP="00BA4BC6">
      <w:pPr>
        <w:numPr>
          <w:ilvl w:val="1"/>
          <w:numId w:val="1"/>
        </w:numPr>
        <w:spacing w:after="100" w:afterAutospacing="1"/>
      </w:pPr>
      <w:r w:rsidRPr="0022039B">
        <w:t xml:space="preserve">Routine O&amp;M: </w:t>
      </w:r>
      <w:r w:rsidRPr="0022039B">
        <w:tab/>
        <w:t>$4M per year</w:t>
      </w:r>
    </w:p>
    <w:p w14:paraId="61D0748B" w14:textId="77777777" w:rsidR="00315FEC" w:rsidRPr="0022039B" w:rsidRDefault="0022039B" w:rsidP="00BA4BC6">
      <w:pPr>
        <w:numPr>
          <w:ilvl w:val="1"/>
          <w:numId w:val="1"/>
        </w:numPr>
        <w:spacing w:after="100" w:afterAutospacing="1"/>
      </w:pPr>
      <w:r>
        <w:t xml:space="preserve">Major maintenance:   </w:t>
      </w:r>
      <w:r w:rsidR="00556929" w:rsidRPr="0022039B">
        <w:t>$10M (every 8 years)</w:t>
      </w:r>
    </w:p>
    <w:p w14:paraId="1513DFD3" w14:textId="77777777" w:rsidR="00315FEC" w:rsidRPr="0022039B" w:rsidRDefault="00556929" w:rsidP="00BA4BC6">
      <w:pPr>
        <w:numPr>
          <w:ilvl w:val="0"/>
          <w:numId w:val="1"/>
        </w:numPr>
        <w:spacing w:after="100" w:afterAutospacing="1"/>
      </w:pPr>
      <w:r w:rsidRPr="0022039B">
        <w:t xml:space="preserve">Preconstruction </w:t>
      </w:r>
      <w:r w:rsidR="007F7ABF">
        <w:t>under PSC</w:t>
      </w:r>
      <w:r w:rsidR="00BC567E">
        <w:t xml:space="preserve"> s</w:t>
      </w:r>
      <w:r w:rsidR="007F7ABF">
        <w:t>tart</w:t>
      </w:r>
      <w:r w:rsidR="00BC567E">
        <w:t>s</w:t>
      </w:r>
      <w:r w:rsidR="007F7ABF">
        <w:t xml:space="preserve"> in </w:t>
      </w:r>
      <w:r w:rsidRPr="0022039B">
        <w:t>2015</w:t>
      </w:r>
      <w:r w:rsidR="007F7ABF">
        <w:t>; 2</w:t>
      </w:r>
      <w:r w:rsidRPr="0022039B">
        <w:t xml:space="preserve"> years</w:t>
      </w:r>
      <w:r w:rsidR="007F7ABF">
        <w:t xml:space="preserve"> duration</w:t>
      </w:r>
    </w:p>
    <w:p w14:paraId="367E67A3" w14:textId="61A7D779" w:rsidR="00315FEC" w:rsidRPr="0022039B" w:rsidRDefault="00556929" w:rsidP="00BA4BC6">
      <w:pPr>
        <w:numPr>
          <w:ilvl w:val="0"/>
          <w:numId w:val="1"/>
        </w:numPr>
        <w:spacing w:after="100" w:afterAutospacing="1"/>
      </w:pPr>
      <w:r w:rsidRPr="0022039B">
        <w:t xml:space="preserve">Construction </w:t>
      </w:r>
      <w:r w:rsidR="007F7ABF">
        <w:t>duration under PSC</w:t>
      </w:r>
      <w:r w:rsidRPr="0022039B">
        <w:t>:</w:t>
      </w:r>
      <w:r w:rsidR="007F7ABF">
        <w:t xml:space="preserve">  </w:t>
      </w:r>
      <w:r w:rsidRPr="0022039B">
        <w:t>4 years</w:t>
      </w:r>
      <w:r w:rsidR="00822667">
        <w:t>, starting in 2017</w:t>
      </w:r>
    </w:p>
    <w:p w14:paraId="2A5AA4B8" w14:textId="7F022E19" w:rsidR="00315FEC" w:rsidRPr="0022039B" w:rsidRDefault="00556929" w:rsidP="00BA4BC6">
      <w:pPr>
        <w:numPr>
          <w:ilvl w:val="0"/>
          <w:numId w:val="1"/>
        </w:numPr>
      </w:pPr>
      <w:r w:rsidRPr="0022039B">
        <w:t xml:space="preserve">Operations </w:t>
      </w:r>
      <w:r w:rsidR="007F7ABF">
        <w:t xml:space="preserve">period under PSC:  </w:t>
      </w:r>
      <w:r w:rsidRPr="0022039B">
        <w:t>40 years</w:t>
      </w:r>
      <w:r w:rsidR="00822667">
        <w:t>, starting in 2021</w:t>
      </w:r>
    </w:p>
    <w:p w14:paraId="726DEBC6" w14:textId="77777777" w:rsidR="0022039B" w:rsidRPr="0022039B" w:rsidRDefault="0022039B">
      <w:pPr>
        <w:rPr>
          <w:b/>
          <w:u w:val="single"/>
        </w:rPr>
      </w:pPr>
      <w:r w:rsidRPr="0022039B">
        <w:rPr>
          <w:b/>
          <w:u w:val="single"/>
        </w:rPr>
        <w:t>Analysis Steps</w:t>
      </w:r>
    </w:p>
    <w:p w14:paraId="7D1B8295" w14:textId="44EF2938" w:rsidR="003E5960" w:rsidRPr="00C05679" w:rsidRDefault="0042183E" w:rsidP="00BA4BC6">
      <w:pPr>
        <w:numPr>
          <w:ilvl w:val="0"/>
          <w:numId w:val="5"/>
        </w:numPr>
      </w:pPr>
      <w:r w:rsidRPr="00822667">
        <w:rPr>
          <w:bCs/>
          <w:u w:val="single"/>
        </w:rPr>
        <w:t>Part A</w:t>
      </w:r>
      <w:r w:rsidRPr="00822667">
        <w:rPr>
          <w:u w:val="single"/>
        </w:rPr>
        <w:t xml:space="preserve">: </w:t>
      </w:r>
      <w:r w:rsidR="00822667" w:rsidRPr="00822667">
        <w:rPr>
          <w:u w:val="single"/>
        </w:rPr>
        <w:t xml:space="preserve">Risk Valuation for </w:t>
      </w:r>
      <w:r w:rsidR="00822667">
        <w:rPr>
          <w:u w:val="single"/>
        </w:rPr>
        <w:t xml:space="preserve">use in </w:t>
      </w:r>
      <w:r w:rsidR="00822667" w:rsidRPr="00822667">
        <w:rPr>
          <w:u w:val="single"/>
        </w:rPr>
        <w:t>VfM Analysis</w:t>
      </w:r>
      <w:r w:rsidR="00822667">
        <w:t xml:space="preserve">: Review the DOT’s cost </w:t>
      </w:r>
      <w:r w:rsidRPr="00C05679">
        <w:t>estimate</w:t>
      </w:r>
      <w:r w:rsidR="00822667">
        <w:t>s</w:t>
      </w:r>
      <w:r w:rsidRPr="00C05679">
        <w:t>, for VfM analysis</w:t>
      </w:r>
      <w:r w:rsidR="00822667">
        <w:t>, for the following</w:t>
      </w:r>
      <w:r w:rsidRPr="00C05679">
        <w:t>:</w:t>
      </w:r>
    </w:p>
    <w:p w14:paraId="236D89EA" w14:textId="4384491F" w:rsidR="003E5960" w:rsidRPr="00C05679" w:rsidRDefault="0042183E" w:rsidP="00BA4BC6">
      <w:pPr>
        <w:numPr>
          <w:ilvl w:val="1"/>
          <w:numId w:val="5"/>
        </w:numPr>
      </w:pPr>
      <w:r w:rsidRPr="00C05679">
        <w:t xml:space="preserve">Base </w:t>
      </w:r>
      <w:r w:rsidR="00822667">
        <w:t xml:space="preserve">cost </w:t>
      </w:r>
      <w:r w:rsidRPr="00C05679">
        <w:t xml:space="preserve">variability, pure risk and lifecycle performance risk costs, </w:t>
      </w:r>
      <w:r w:rsidR="00822667">
        <w:t xml:space="preserve">and </w:t>
      </w:r>
      <w:r w:rsidRPr="00C05679">
        <w:t xml:space="preserve">revenue risk uncertainty; and </w:t>
      </w:r>
    </w:p>
    <w:p w14:paraId="3C508C2E" w14:textId="77777777" w:rsidR="003E5960" w:rsidRPr="00C05679" w:rsidRDefault="0042183E" w:rsidP="00BA4BC6">
      <w:pPr>
        <w:numPr>
          <w:ilvl w:val="1"/>
          <w:numId w:val="5"/>
        </w:numPr>
      </w:pPr>
      <w:r w:rsidRPr="00C05679">
        <w:t>The value of risks retained by the public agency and transferred to the concessionaire under a P3</w:t>
      </w:r>
    </w:p>
    <w:p w14:paraId="791EA70F" w14:textId="298A091F" w:rsidR="003E5960" w:rsidRPr="00C05679" w:rsidRDefault="0042183E" w:rsidP="00BA4BC6">
      <w:pPr>
        <w:numPr>
          <w:ilvl w:val="0"/>
          <w:numId w:val="5"/>
        </w:numPr>
      </w:pPr>
      <w:r w:rsidRPr="00C05679">
        <w:rPr>
          <w:bCs/>
          <w:u w:val="single"/>
        </w:rPr>
        <w:t>Part B</w:t>
      </w:r>
      <w:r w:rsidR="00822667" w:rsidRPr="00822667">
        <w:rPr>
          <w:u w:val="single"/>
        </w:rPr>
        <w:t xml:space="preserve">: Risk Valuation for </w:t>
      </w:r>
      <w:r w:rsidR="00822667">
        <w:rPr>
          <w:u w:val="single"/>
        </w:rPr>
        <w:t>use in Benefit-Cost</w:t>
      </w:r>
      <w:r w:rsidR="00822667" w:rsidRPr="00822667">
        <w:rPr>
          <w:u w:val="single"/>
        </w:rPr>
        <w:t xml:space="preserve"> Analysis</w:t>
      </w:r>
      <w:r w:rsidRPr="00C05679">
        <w:t xml:space="preserve">: </w:t>
      </w:r>
      <w:r w:rsidR="00822667">
        <w:t xml:space="preserve">Review the DOT’s cost </w:t>
      </w:r>
      <w:r w:rsidR="00822667" w:rsidRPr="00C05679">
        <w:t>estimate</w:t>
      </w:r>
      <w:r w:rsidR="00822667">
        <w:t>s</w:t>
      </w:r>
      <w:r w:rsidR="00822667" w:rsidRPr="00C05679">
        <w:t>,</w:t>
      </w:r>
      <w:r w:rsidRPr="00C05679">
        <w:t xml:space="preserve"> for benefit-cost analysis</w:t>
      </w:r>
      <w:r w:rsidR="00822667">
        <w:t>, for the following</w:t>
      </w:r>
      <w:r w:rsidRPr="00C05679">
        <w:t>:</w:t>
      </w:r>
    </w:p>
    <w:p w14:paraId="27FBEF4D" w14:textId="77777777" w:rsidR="003E5960" w:rsidRPr="00C05679" w:rsidRDefault="0042183E" w:rsidP="00BA4BC6">
      <w:pPr>
        <w:numPr>
          <w:ilvl w:val="1"/>
          <w:numId w:val="5"/>
        </w:numPr>
      </w:pPr>
      <w:r w:rsidRPr="00C05679">
        <w:t xml:space="preserve">Base variability, pure risk and lifecycle performance risk costs. </w:t>
      </w:r>
    </w:p>
    <w:p w14:paraId="07181266" w14:textId="1663E570" w:rsidR="003E5960" w:rsidRPr="00C05679" w:rsidRDefault="0042183E" w:rsidP="00BA4BC6">
      <w:pPr>
        <w:numPr>
          <w:ilvl w:val="0"/>
          <w:numId w:val="5"/>
        </w:numPr>
      </w:pPr>
      <w:r w:rsidRPr="00FC7C22">
        <w:rPr>
          <w:bCs/>
          <w:u w:val="single"/>
        </w:rPr>
        <w:lastRenderedPageBreak/>
        <w:t>Part C</w:t>
      </w:r>
      <w:r w:rsidRPr="00FC7C22">
        <w:rPr>
          <w:u w:val="single"/>
        </w:rPr>
        <w:t xml:space="preserve">: </w:t>
      </w:r>
      <w:r w:rsidR="00FC7C22" w:rsidRPr="00FC7C22">
        <w:rPr>
          <w:u w:val="single"/>
        </w:rPr>
        <w:t>Valuation of Lifecycle Performance Risks and Revenue Uncertainty</w:t>
      </w:r>
      <w:r w:rsidR="00FC7C22">
        <w:t xml:space="preserve">: Test the </w:t>
      </w:r>
      <w:proofErr w:type="gramStart"/>
      <w:r w:rsidR="00FC7C22">
        <w:t xml:space="preserve">impacts </w:t>
      </w:r>
      <w:r w:rsidRPr="00C05679">
        <w:t xml:space="preserve"> of</w:t>
      </w:r>
      <w:proofErr w:type="gramEnd"/>
      <w:r w:rsidRPr="00C05679">
        <w:t xml:space="preserve"> financial conditions </w:t>
      </w:r>
      <w:r w:rsidR="00FC7C22">
        <w:t>on</w:t>
      </w:r>
      <w:r w:rsidRPr="00C05679">
        <w:t xml:space="preserve"> market-based </w:t>
      </w:r>
      <w:r w:rsidR="00FC7C22">
        <w:t xml:space="preserve">cost </w:t>
      </w:r>
      <w:r w:rsidRPr="00C05679">
        <w:t>estimate</w:t>
      </w:r>
      <w:r w:rsidR="00FC7C22">
        <w:t>s</w:t>
      </w:r>
      <w:r w:rsidRPr="00C05679">
        <w:t xml:space="preserve"> of lifecycle performance risk and revenue uncertainty</w:t>
      </w:r>
      <w:r w:rsidR="00FC7C22">
        <w:t>.</w:t>
      </w:r>
    </w:p>
    <w:p w14:paraId="111C9C9B" w14:textId="7E9D4F38" w:rsidR="005D5281" w:rsidRPr="005D5281" w:rsidRDefault="005D5281">
      <w:pPr>
        <w:rPr>
          <w:b/>
          <w:u w:val="single"/>
        </w:rPr>
      </w:pPr>
      <w:r w:rsidRPr="005D5281">
        <w:rPr>
          <w:b/>
          <w:u w:val="single"/>
        </w:rPr>
        <w:t>Part A</w:t>
      </w:r>
      <w:r>
        <w:rPr>
          <w:b/>
          <w:u w:val="single"/>
        </w:rPr>
        <w:t xml:space="preserve">: </w:t>
      </w:r>
      <w:r w:rsidR="00C05679">
        <w:rPr>
          <w:b/>
          <w:u w:val="single"/>
        </w:rPr>
        <w:t xml:space="preserve">Risk </w:t>
      </w:r>
      <w:r w:rsidR="001142F1">
        <w:rPr>
          <w:b/>
          <w:u w:val="single"/>
        </w:rPr>
        <w:t>Analysis</w:t>
      </w:r>
      <w:r w:rsidR="00C05679">
        <w:rPr>
          <w:b/>
          <w:u w:val="single"/>
        </w:rPr>
        <w:t xml:space="preserve"> for VfM</w:t>
      </w:r>
    </w:p>
    <w:p w14:paraId="11B09BE3" w14:textId="77777777" w:rsidR="00D01257" w:rsidRDefault="00D01257" w:rsidP="00BA4BC6">
      <w:pPr>
        <w:numPr>
          <w:ilvl w:val="0"/>
          <w:numId w:val="2"/>
        </w:numPr>
        <w:spacing w:after="8" w:line="270" w:lineRule="auto"/>
        <w:ind w:hanging="360"/>
      </w:pPr>
      <w:r>
        <w:t>Open P3-VALUE 2.0 Excel file.</w:t>
      </w:r>
    </w:p>
    <w:p w14:paraId="3F590212" w14:textId="77777777" w:rsidR="00D01257" w:rsidRDefault="00D01257" w:rsidP="00BA4BC6">
      <w:pPr>
        <w:numPr>
          <w:ilvl w:val="0"/>
          <w:numId w:val="2"/>
        </w:numPr>
        <w:spacing w:after="8" w:line="270" w:lineRule="auto"/>
        <w:ind w:hanging="360"/>
      </w:pPr>
      <w:r>
        <w:t xml:space="preserve">When opening the file, Excel may prompt you to approve the use of macros. To do so, click “Enable editing” and/or “Enable content” on the yellow bar across the top of the screen. </w:t>
      </w:r>
    </w:p>
    <w:p w14:paraId="54B145A1" w14:textId="77777777" w:rsidR="00D01257" w:rsidRDefault="00D01257" w:rsidP="00BA4BC6">
      <w:pPr>
        <w:numPr>
          <w:ilvl w:val="0"/>
          <w:numId w:val="2"/>
        </w:numPr>
        <w:spacing w:after="8" w:line="270" w:lineRule="auto"/>
        <w:ind w:hanging="360"/>
      </w:pPr>
      <w:r>
        <w:t xml:space="preserve">After the model opens, the following user form will appear. </w:t>
      </w:r>
    </w:p>
    <w:p w14:paraId="2FC90A34" w14:textId="77777777" w:rsidR="00D01257" w:rsidRDefault="00D01257" w:rsidP="00D01257">
      <w:pPr>
        <w:pStyle w:val="Picture"/>
      </w:pPr>
      <w:r>
        <w:rPr>
          <w:noProof/>
        </w:rPr>
        <w:drawing>
          <wp:inline distT="0" distB="0" distL="0" distR="0" wp14:anchorId="12B1BF7F" wp14:editId="40D8B181">
            <wp:extent cx="3019812" cy="216217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vigator selection.tiff"/>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33110" cy="2171696"/>
                    </a:xfrm>
                    <a:prstGeom prst="rect">
                      <a:avLst/>
                    </a:prstGeom>
                  </pic:spPr>
                </pic:pic>
              </a:graphicData>
            </a:graphic>
          </wp:inline>
        </w:drawing>
      </w:r>
    </w:p>
    <w:p w14:paraId="4E994920" w14:textId="77777777" w:rsidR="00D01257" w:rsidRDefault="00D01257" w:rsidP="00BA4BC6">
      <w:pPr>
        <w:numPr>
          <w:ilvl w:val="0"/>
          <w:numId w:val="2"/>
        </w:numPr>
        <w:spacing w:after="8" w:line="270" w:lineRule="auto"/>
        <w:ind w:hanging="360"/>
      </w:pPr>
      <w:r>
        <w:t>Select the “</w:t>
      </w:r>
      <w:r w:rsidR="00E5604C">
        <w:t xml:space="preserve">Training </w:t>
      </w:r>
      <w:r>
        <w:t xml:space="preserve">Navigator” to access the </w:t>
      </w:r>
      <w:r w:rsidR="00E5604C">
        <w:t xml:space="preserve">training </w:t>
      </w:r>
      <w:r w:rsidR="00BC567E">
        <w:t>modules</w:t>
      </w:r>
      <w:r>
        <w:t>. T</w:t>
      </w:r>
      <w:r w:rsidRPr="00164F7C">
        <w:t xml:space="preserve">he “Training Navigator” contains four </w:t>
      </w:r>
      <w:r>
        <w:t xml:space="preserve">training </w:t>
      </w:r>
      <w:r w:rsidRPr="00164F7C">
        <w:t xml:space="preserve">modules that provide </w:t>
      </w:r>
      <w:r>
        <w:t xml:space="preserve">limited </w:t>
      </w:r>
      <w:r w:rsidRPr="00164F7C">
        <w:t xml:space="preserve">access to only the </w:t>
      </w:r>
      <w:r>
        <w:t xml:space="preserve">most </w:t>
      </w:r>
      <w:r w:rsidRPr="00164F7C">
        <w:t xml:space="preserve">relevant inputs and outputs </w:t>
      </w:r>
      <w:r>
        <w:t>for</w:t>
      </w:r>
      <w:r w:rsidRPr="00164F7C">
        <w:t xml:space="preserve"> a </w:t>
      </w:r>
      <w:r>
        <w:t xml:space="preserve">particular </w:t>
      </w:r>
      <w:r w:rsidRPr="00164F7C">
        <w:t>training session</w:t>
      </w:r>
      <w:r>
        <w:t>.</w:t>
      </w:r>
    </w:p>
    <w:p w14:paraId="69974177" w14:textId="256F5573" w:rsidR="00D01257" w:rsidRDefault="00BC567E" w:rsidP="00BA4BC6">
      <w:pPr>
        <w:numPr>
          <w:ilvl w:val="0"/>
          <w:numId w:val="2"/>
        </w:numPr>
        <w:spacing w:after="8" w:line="270" w:lineRule="auto"/>
        <w:ind w:hanging="360"/>
      </w:pPr>
      <w:r>
        <w:t>S</w:t>
      </w:r>
      <w:r w:rsidR="00D01257">
        <w:t xml:space="preserve">elect “Module </w:t>
      </w:r>
      <w:r w:rsidR="00C05679">
        <w:t>3</w:t>
      </w:r>
      <w:r w:rsidR="002D4F7C">
        <w:t xml:space="preserve">: </w:t>
      </w:r>
      <w:r w:rsidR="00C05679">
        <w:t>Risk Assessment</w:t>
      </w:r>
      <w:r w:rsidR="00D01257">
        <w:t>”</w:t>
      </w:r>
      <w:r w:rsidR="00556929">
        <w:t xml:space="preserve"> and proceed with the steps below</w:t>
      </w:r>
      <w:r w:rsidR="00A72417">
        <w:t xml:space="preserve"> (</w:t>
      </w:r>
      <w:r w:rsidR="00F22810" w:rsidRPr="00F22810">
        <w:t>Note that the Training Navigator window may be closed and reopened at any point</w:t>
      </w:r>
      <w:r w:rsidR="00CD7F4A">
        <w:t xml:space="preserve">. Also, the tool has already been optimized and therefore </w:t>
      </w:r>
      <w:r w:rsidR="00FC7C22">
        <w:t xml:space="preserve">optimizing the tool </w:t>
      </w:r>
      <w:r w:rsidR="00CD7F4A">
        <w:t xml:space="preserve">is not required </w:t>
      </w:r>
      <w:r w:rsidR="001054E1">
        <w:t>unless specified</w:t>
      </w:r>
      <w:r w:rsidR="00A72417">
        <w:t>).</w:t>
      </w:r>
    </w:p>
    <w:p w14:paraId="1ADC03EA" w14:textId="2972DA8C" w:rsidR="00C05679" w:rsidRPr="00C05679" w:rsidRDefault="00FC7C22" w:rsidP="00FC7C22">
      <w:pPr>
        <w:pStyle w:val="ListParagraph"/>
        <w:numPr>
          <w:ilvl w:val="0"/>
          <w:numId w:val="2"/>
        </w:numPr>
        <w:spacing w:after="8" w:line="270" w:lineRule="auto"/>
        <w:ind w:hanging="360"/>
      </w:pPr>
      <w:r>
        <w:t>R</w:t>
      </w:r>
      <w:r w:rsidR="00C05679" w:rsidRPr="00C05679">
        <w:t xml:space="preserve">eview </w:t>
      </w:r>
      <w:r>
        <w:t>the cost impacts</w:t>
      </w:r>
      <w:r w:rsidR="00C05679" w:rsidRPr="00C05679">
        <w:t xml:space="preserve"> of each of the following for the Conventional Delivery and P3 Options:</w:t>
      </w:r>
    </w:p>
    <w:p w14:paraId="058EFABC" w14:textId="75655116" w:rsidR="003E5960" w:rsidRPr="00C05679" w:rsidRDefault="0042183E" w:rsidP="00BA4BC6">
      <w:pPr>
        <w:numPr>
          <w:ilvl w:val="0"/>
          <w:numId w:val="6"/>
        </w:numPr>
        <w:spacing w:after="8" w:line="270" w:lineRule="auto"/>
      </w:pPr>
      <w:r w:rsidRPr="00C05679">
        <w:t xml:space="preserve">Base </w:t>
      </w:r>
      <w:r w:rsidR="00FC7C22">
        <w:t xml:space="preserve">cost </w:t>
      </w:r>
      <w:r w:rsidRPr="00C05679">
        <w:t xml:space="preserve">variability </w:t>
      </w:r>
    </w:p>
    <w:p w14:paraId="59359FCA" w14:textId="44F79572" w:rsidR="003E5960" w:rsidRPr="00C05679" w:rsidRDefault="0042183E" w:rsidP="00BA4BC6">
      <w:pPr>
        <w:numPr>
          <w:ilvl w:val="0"/>
          <w:numId w:val="6"/>
        </w:numPr>
        <w:spacing w:after="8" w:line="270" w:lineRule="auto"/>
      </w:pPr>
      <w:r w:rsidRPr="00C05679">
        <w:t>Pure risk</w:t>
      </w:r>
      <w:r w:rsidR="00FC7C22">
        <w:t>s</w:t>
      </w:r>
      <w:r w:rsidRPr="00C05679">
        <w:t xml:space="preserve"> </w:t>
      </w:r>
    </w:p>
    <w:p w14:paraId="793FE9A3" w14:textId="692D181E" w:rsidR="003E5960" w:rsidRPr="00C05679" w:rsidRDefault="0042183E" w:rsidP="00BA4BC6">
      <w:pPr>
        <w:numPr>
          <w:ilvl w:val="0"/>
          <w:numId w:val="6"/>
        </w:numPr>
        <w:spacing w:after="8" w:line="270" w:lineRule="auto"/>
      </w:pPr>
      <w:r w:rsidRPr="00C05679">
        <w:t>Lifecycle performance risk</w:t>
      </w:r>
      <w:r w:rsidR="00FC7C22">
        <w:t>s</w:t>
      </w:r>
      <w:r w:rsidRPr="00C05679">
        <w:t xml:space="preserve"> </w:t>
      </w:r>
    </w:p>
    <w:p w14:paraId="23F30994" w14:textId="020331B6" w:rsidR="003E5960" w:rsidRPr="00C05679" w:rsidRDefault="0042183E" w:rsidP="00BA4BC6">
      <w:pPr>
        <w:numPr>
          <w:ilvl w:val="0"/>
          <w:numId w:val="6"/>
        </w:numPr>
        <w:spacing w:after="8" w:line="270" w:lineRule="auto"/>
      </w:pPr>
      <w:r w:rsidRPr="00C05679">
        <w:t>Revenue uncertainty (toll concessions only)</w:t>
      </w:r>
    </w:p>
    <w:p w14:paraId="48DC7E92" w14:textId="77777777" w:rsidR="00C05679" w:rsidRDefault="00C05679" w:rsidP="00DB7C6E">
      <w:pPr>
        <w:spacing w:after="8" w:line="270" w:lineRule="auto"/>
        <w:ind w:left="360"/>
      </w:pPr>
    </w:p>
    <w:p w14:paraId="57ADB6DE" w14:textId="77777777" w:rsidR="003769D0" w:rsidRPr="00243AFD" w:rsidRDefault="003769D0" w:rsidP="00DB7C6E">
      <w:pPr>
        <w:spacing w:after="8" w:line="270" w:lineRule="auto"/>
        <w:ind w:left="360"/>
      </w:pPr>
    </w:p>
    <w:p w14:paraId="66468EEE" w14:textId="0AF32BDA" w:rsidR="00644E4F" w:rsidRDefault="005D5281" w:rsidP="00BC567E">
      <w:pPr>
        <w:spacing w:after="0" w:line="240" w:lineRule="auto"/>
        <w:rPr>
          <w:iCs/>
        </w:rPr>
      </w:pPr>
      <w:r w:rsidRPr="002066E5">
        <w:rPr>
          <w:b/>
          <w:i/>
          <w:iCs/>
          <w:u w:val="single"/>
        </w:rPr>
        <w:t xml:space="preserve">Step 1: </w:t>
      </w:r>
      <w:r w:rsidR="002066E5">
        <w:rPr>
          <w:b/>
          <w:i/>
          <w:iCs/>
          <w:u w:val="single"/>
        </w:rPr>
        <w:t>Conventional Delivery (</w:t>
      </w:r>
      <w:r w:rsidRPr="002066E5">
        <w:rPr>
          <w:b/>
          <w:i/>
          <w:iCs/>
          <w:u w:val="single"/>
        </w:rPr>
        <w:t>PSC</w:t>
      </w:r>
      <w:r w:rsidR="002066E5">
        <w:rPr>
          <w:b/>
          <w:i/>
          <w:iCs/>
          <w:u w:val="single"/>
        </w:rPr>
        <w:t>)</w:t>
      </w:r>
      <w:r>
        <w:rPr>
          <w:iCs/>
        </w:rPr>
        <w:t xml:space="preserve">: </w:t>
      </w:r>
      <w:r w:rsidRPr="005D5281">
        <w:rPr>
          <w:iCs/>
        </w:rPr>
        <w:t xml:space="preserve"> </w:t>
      </w:r>
    </w:p>
    <w:p w14:paraId="0A85345B" w14:textId="77777777" w:rsidR="00644E4F" w:rsidRDefault="00644E4F" w:rsidP="00BC567E">
      <w:pPr>
        <w:spacing w:after="0" w:line="240" w:lineRule="auto"/>
        <w:rPr>
          <w:iCs/>
        </w:rPr>
      </w:pPr>
    </w:p>
    <w:p w14:paraId="5EC9E491" w14:textId="040DC5A8" w:rsidR="00644E4F" w:rsidRDefault="00644E4F" w:rsidP="00644E4F">
      <w:pPr>
        <w:spacing w:after="0" w:line="240" w:lineRule="auto"/>
        <w:rPr>
          <w:iCs/>
        </w:rPr>
      </w:pPr>
      <w:r>
        <w:rPr>
          <w:iCs/>
        </w:rPr>
        <w:t xml:space="preserve">The PSC </w:t>
      </w:r>
      <w:r w:rsidR="00C05679">
        <w:rPr>
          <w:iCs/>
        </w:rPr>
        <w:t>risks include</w:t>
      </w:r>
      <w:r>
        <w:rPr>
          <w:iCs/>
        </w:rPr>
        <w:t xml:space="preserve"> (1) </w:t>
      </w:r>
      <w:r w:rsidR="00C05679">
        <w:rPr>
          <w:bCs/>
          <w:iCs/>
        </w:rPr>
        <w:t>Base variability</w:t>
      </w:r>
      <w:r>
        <w:rPr>
          <w:bCs/>
          <w:iCs/>
        </w:rPr>
        <w:t xml:space="preserve">; (2) </w:t>
      </w:r>
      <w:r w:rsidR="00C05679">
        <w:rPr>
          <w:bCs/>
          <w:iCs/>
        </w:rPr>
        <w:t>Pure risks</w:t>
      </w:r>
      <w:r>
        <w:rPr>
          <w:bCs/>
          <w:iCs/>
        </w:rPr>
        <w:t>;</w:t>
      </w:r>
      <w:r w:rsidR="00C05679">
        <w:rPr>
          <w:bCs/>
          <w:iCs/>
        </w:rPr>
        <w:t xml:space="preserve"> (3) Lifecycle performance risks</w:t>
      </w:r>
      <w:proofErr w:type="gramStart"/>
      <w:r w:rsidR="00C05679">
        <w:rPr>
          <w:bCs/>
          <w:iCs/>
        </w:rPr>
        <w:t xml:space="preserve">; </w:t>
      </w:r>
      <w:r>
        <w:rPr>
          <w:bCs/>
          <w:iCs/>
        </w:rPr>
        <w:t xml:space="preserve"> and</w:t>
      </w:r>
      <w:proofErr w:type="gramEnd"/>
      <w:r>
        <w:rPr>
          <w:bCs/>
          <w:iCs/>
        </w:rPr>
        <w:t xml:space="preserve"> (</w:t>
      </w:r>
      <w:r w:rsidR="00C05679">
        <w:rPr>
          <w:bCs/>
          <w:iCs/>
        </w:rPr>
        <w:t>4</w:t>
      </w:r>
      <w:r>
        <w:rPr>
          <w:bCs/>
          <w:iCs/>
        </w:rPr>
        <w:t xml:space="preserve">) </w:t>
      </w:r>
      <w:r w:rsidR="00C05679">
        <w:rPr>
          <w:bCs/>
          <w:iCs/>
        </w:rPr>
        <w:t>Revenue uncertainty</w:t>
      </w:r>
      <w:r>
        <w:rPr>
          <w:bCs/>
          <w:iCs/>
        </w:rPr>
        <w:t>.</w:t>
      </w:r>
    </w:p>
    <w:p w14:paraId="25B758CD" w14:textId="77777777" w:rsidR="00644E4F" w:rsidRDefault="00644E4F" w:rsidP="00644E4F">
      <w:pPr>
        <w:spacing w:after="0"/>
        <w:rPr>
          <w:iCs/>
        </w:rPr>
      </w:pPr>
    </w:p>
    <w:p w14:paraId="0E5ED2F7" w14:textId="77777777" w:rsidR="00C05679" w:rsidRPr="0052533F" w:rsidRDefault="00C05679" w:rsidP="00C05679">
      <w:pPr>
        <w:spacing w:after="0"/>
        <w:rPr>
          <w:iCs/>
        </w:rPr>
      </w:pPr>
      <w:r w:rsidRPr="0052533F">
        <w:rPr>
          <w:iCs/>
        </w:rPr>
        <w:t xml:space="preserve">Review the key PSC project information in the </w:t>
      </w:r>
      <w:proofErr w:type="spellStart"/>
      <w:r w:rsidRPr="00FC7C22">
        <w:rPr>
          <w:b/>
          <w:bCs/>
          <w:i/>
          <w:iCs/>
        </w:rPr>
        <w:t>InpRisk</w:t>
      </w:r>
      <w:proofErr w:type="spellEnd"/>
      <w:r w:rsidRPr="00FC7C22">
        <w:rPr>
          <w:i/>
          <w:iCs/>
        </w:rPr>
        <w:t xml:space="preserve"> </w:t>
      </w:r>
      <w:r w:rsidRPr="0052533F">
        <w:rPr>
          <w:iCs/>
        </w:rPr>
        <w:t>sheet of the model provided.</w:t>
      </w:r>
    </w:p>
    <w:p w14:paraId="66D018BB" w14:textId="18412784" w:rsidR="003E5960" w:rsidRPr="00C05679" w:rsidRDefault="0042183E" w:rsidP="00BA4BC6">
      <w:pPr>
        <w:numPr>
          <w:ilvl w:val="0"/>
          <w:numId w:val="7"/>
        </w:numPr>
        <w:spacing w:after="0"/>
        <w:rPr>
          <w:iCs/>
        </w:rPr>
      </w:pPr>
      <w:r w:rsidRPr="00C05679">
        <w:rPr>
          <w:b/>
          <w:bCs/>
          <w:iCs/>
        </w:rPr>
        <w:t xml:space="preserve">Pure risk </w:t>
      </w:r>
      <w:r w:rsidRPr="00C05679">
        <w:rPr>
          <w:iCs/>
        </w:rPr>
        <w:t xml:space="preserve">inputs: risk probabilities (row 10), most likely impact, impact distribution (uniform or triangular), minimum/maximum impact variation relative to most likely impact (rows 16-27 </w:t>
      </w:r>
      <w:r w:rsidR="00FC7C22">
        <w:rPr>
          <w:iCs/>
        </w:rPr>
        <w:t>and</w:t>
      </w:r>
      <w:r w:rsidRPr="00C05679">
        <w:rPr>
          <w:iCs/>
        </w:rPr>
        <w:t xml:space="preserve"> rows 33-38)</w:t>
      </w:r>
    </w:p>
    <w:p w14:paraId="5851B751" w14:textId="77777777" w:rsidR="003E5960" w:rsidRPr="00C05679" w:rsidRDefault="0042183E" w:rsidP="00BA4BC6">
      <w:pPr>
        <w:numPr>
          <w:ilvl w:val="0"/>
          <w:numId w:val="7"/>
        </w:numPr>
        <w:spacing w:after="0"/>
        <w:rPr>
          <w:iCs/>
        </w:rPr>
      </w:pPr>
      <w:r w:rsidRPr="00C05679">
        <w:rPr>
          <w:b/>
          <w:bCs/>
          <w:iCs/>
        </w:rPr>
        <w:lastRenderedPageBreak/>
        <w:t xml:space="preserve">Base variability </w:t>
      </w:r>
      <w:r w:rsidRPr="00C05679">
        <w:rPr>
          <w:iCs/>
        </w:rPr>
        <w:t>inputs: percentage of costs (rows 45-47)</w:t>
      </w:r>
    </w:p>
    <w:p w14:paraId="51F28228" w14:textId="77777777" w:rsidR="003E5960" w:rsidRPr="00C05679" w:rsidRDefault="0042183E" w:rsidP="00BA4BC6">
      <w:pPr>
        <w:numPr>
          <w:ilvl w:val="0"/>
          <w:numId w:val="7"/>
        </w:numPr>
        <w:spacing w:after="0"/>
        <w:rPr>
          <w:iCs/>
        </w:rPr>
      </w:pPr>
      <w:r w:rsidRPr="00C05679">
        <w:rPr>
          <w:b/>
          <w:bCs/>
          <w:iCs/>
        </w:rPr>
        <w:t>Lifecycle performance risk</w:t>
      </w:r>
      <w:r w:rsidRPr="00C05679">
        <w:rPr>
          <w:iCs/>
        </w:rPr>
        <w:t xml:space="preserve"> inputs: lifecycle performance risk cost estimate or P3 financing conditions (rows 52-53)</w:t>
      </w:r>
    </w:p>
    <w:p w14:paraId="5F78094D" w14:textId="77777777" w:rsidR="003E5960" w:rsidRPr="00C05679" w:rsidRDefault="0042183E" w:rsidP="00BA4BC6">
      <w:pPr>
        <w:numPr>
          <w:ilvl w:val="0"/>
          <w:numId w:val="7"/>
        </w:numPr>
        <w:spacing w:after="0"/>
        <w:rPr>
          <w:iCs/>
        </w:rPr>
      </w:pPr>
      <w:r w:rsidRPr="00C05679">
        <w:rPr>
          <w:b/>
          <w:bCs/>
          <w:iCs/>
        </w:rPr>
        <w:t xml:space="preserve">Revenue uncertainty adjustment </w:t>
      </w:r>
      <w:r w:rsidRPr="00C05679">
        <w:rPr>
          <w:iCs/>
        </w:rPr>
        <w:t>inputs: revenue uncertainty “haircut” or P3 financing conditions (rows 59-60)</w:t>
      </w:r>
    </w:p>
    <w:p w14:paraId="30001FE7" w14:textId="77777777" w:rsidR="0052533F" w:rsidRDefault="0052533F" w:rsidP="0052533F">
      <w:pPr>
        <w:spacing w:after="0"/>
        <w:rPr>
          <w:i/>
          <w:iCs/>
        </w:rPr>
      </w:pPr>
    </w:p>
    <w:p w14:paraId="6DE33988" w14:textId="77777777" w:rsidR="0052533F" w:rsidRPr="0052533F" w:rsidRDefault="0052533F" w:rsidP="0052533F">
      <w:pPr>
        <w:spacing w:after="0"/>
        <w:rPr>
          <w:iCs/>
        </w:rPr>
      </w:pPr>
      <w:r w:rsidRPr="0052533F">
        <w:rPr>
          <w:iCs/>
        </w:rPr>
        <w:t xml:space="preserve">Review the key PSC project information in the </w:t>
      </w:r>
      <w:proofErr w:type="spellStart"/>
      <w:r w:rsidRPr="00FC7C22">
        <w:rPr>
          <w:b/>
          <w:bCs/>
          <w:i/>
          <w:iCs/>
        </w:rPr>
        <w:t>InpFin</w:t>
      </w:r>
      <w:proofErr w:type="spellEnd"/>
      <w:r w:rsidRPr="0052533F">
        <w:rPr>
          <w:iCs/>
        </w:rPr>
        <w:t xml:space="preserve"> sheet of the model provided.</w:t>
      </w:r>
    </w:p>
    <w:p w14:paraId="41231ACE" w14:textId="77777777" w:rsidR="003E5960" w:rsidRPr="0052533F" w:rsidRDefault="0042183E" w:rsidP="00BA4BC6">
      <w:pPr>
        <w:numPr>
          <w:ilvl w:val="0"/>
          <w:numId w:val="8"/>
        </w:numPr>
        <w:spacing w:after="0"/>
        <w:rPr>
          <w:iCs/>
        </w:rPr>
      </w:pPr>
      <w:r w:rsidRPr="0052533F">
        <w:rPr>
          <w:b/>
          <w:bCs/>
          <w:iCs/>
        </w:rPr>
        <w:t>Lifecycle performance risk</w:t>
      </w:r>
      <w:r w:rsidRPr="0052533F">
        <w:rPr>
          <w:iCs/>
        </w:rPr>
        <w:t xml:space="preserve"> inputs/financing conditions: </w:t>
      </w:r>
    </w:p>
    <w:p w14:paraId="7AC8292C" w14:textId="77777777" w:rsidR="003E5960" w:rsidRPr="0052533F" w:rsidRDefault="0042183E" w:rsidP="00BA4BC6">
      <w:pPr>
        <w:numPr>
          <w:ilvl w:val="1"/>
          <w:numId w:val="8"/>
        </w:numPr>
        <w:spacing w:after="0"/>
        <w:rPr>
          <w:iCs/>
        </w:rPr>
      </w:pPr>
      <w:r w:rsidRPr="0052533F">
        <w:rPr>
          <w:iCs/>
        </w:rPr>
        <w:t>P3 cost of equity and gearing  (rows 54-55)</w:t>
      </w:r>
    </w:p>
    <w:p w14:paraId="6BE0831B" w14:textId="77777777" w:rsidR="003E5960" w:rsidRPr="0052533F" w:rsidRDefault="0042183E" w:rsidP="00BA4BC6">
      <w:pPr>
        <w:numPr>
          <w:ilvl w:val="1"/>
          <w:numId w:val="8"/>
        </w:numPr>
        <w:spacing w:after="0"/>
        <w:rPr>
          <w:iCs/>
        </w:rPr>
      </w:pPr>
      <w:r w:rsidRPr="0052533F">
        <w:rPr>
          <w:iCs/>
        </w:rPr>
        <w:t>P3 debt and equity bridge loan interest rates (rows 61-62)</w:t>
      </w:r>
    </w:p>
    <w:p w14:paraId="1F1281E5" w14:textId="77777777" w:rsidR="003E5960" w:rsidRPr="0052533F" w:rsidRDefault="0042183E" w:rsidP="00BA4BC6">
      <w:pPr>
        <w:numPr>
          <w:ilvl w:val="1"/>
          <w:numId w:val="8"/>
        </w:numPr>
        <w:spacing w:after="0"/>
        <w:rPr>
          <w:iCs/>
        </w:rPr>
      </w:pPr>
      <w:r w:rsidRPr="0052533F">
        <w:rPr>
          <w:iCs/>
        </w:rPr>
        <w:t>P3 minimum debt service coverage ratio (DSCR, row 64)</w:t>
      </w:r>
    </w:p>
    <w:p w14:paraId="240DF500" w14:textId="77777777" w:rsidR="003E5960" w:rsidRPr="0052533F" w:rsidRDefault="0042183E" w:rsidP="00BA4BC6">
      <w:pPr>
        <w:numPr>
          <w:ilvl w:val="0"/>
          <w:numId w:val="8"/>
        </w:numPr>
        <w:spacing w:after="0"/>
        <w:rPr>
          <w:iCs/>
        </w:rPr>
      </w:pPr>
      <w:r w:rsidRPr="0052533F">
        <w:rPr>
          <w:b/>
          <w:bCs/>
          <w:iCs/>
        </w:rPr>
        <w:t xml:space="preserve">Revenue uncertainty adjustment </w:t>
      </w:r>
      <w:r w:rsidRPr="0052533F">
        <w:rPr>
          <w:iCs/>
        </w:rPr>
        <w:t xml:space="preserve">inputs: </w:t>
      </w:r>
    </w:p>
    <w:p w14:paraId="467CCD6D" w14:textId="77777777" w:rsidR="003E5960" w:rsidRPr="0052533F" w:rsidRDefault="0042183E" w:rsidP="00BA4BC6">
      <w:pPr>
        <w:numPr>
          <w:ilvl w:val="1"/>
          <w:numId w:val="8"/>
        </w:numPr>
        <w:spacing w:after="0"/>
        <w:rPr>
          <w:iCs/>
        </w:rPr>
      </w:pPr>
      <w:r w:rsidRPr="0052533F">
        <w:rPr>
          <w:iCs/>
        </w:rPr>
        <w:t>P3 - Difference between Availability Payment WACC and Toll Concession WACC (row 71)</w:t>
      </w:r>
    </w:p>
    <w:p w14:paraId="1F647F5F" w14:textId="77777777" w:rsidR="00C05679" w:rsidRDefault="00C05679" w:rsidP="00644E4F">
      <w:pPr>
        <w:spacing w:after="0"/>
        <w:rPr>
          <w:iCs/>
        </w:rPr>
      </w:pPr>
    </w:p>
    <w:p w14:paraId="6DF1E42D" w14:textId="77777777" w:rsidR="0052533F" w:rsidRPr="0052533F" w:rsidRDefault="0052533F" w:rsidP="0052533F">
      <w:pPr>
        <w:spacing w:after="0"/>
        <w:rPr>
          <w:iCs/>
        </w:rPr>
      </w:pPr>
      <w:r w:rsidRPr="0052533F">
        <w:rPr>
          <w:iCs/>
        </w:rPr>
        <w:t xml:space="preserve">Review and record below the Conventional Delivery risk values for VfM (see </w:t>
      </w:r>
      <w:r w:rsidRPr="00FC7C22">
        <w:rPr>
          <w:b/>
          <w:bCs/>
          <w:i/>
          <w:iCs/>
        </w:rPr>
        <w:t>Risk Output for VfM</w:t>
      </w:r>
      <w:r w:rsidRPr="0052533F">
        <w:rPr>
          <w:b/>
          <w:bCs/>
          <w:iCs/>
        </w:rPr>
        <w:t xml:space="preserve"> </w:t>
      </w:r>
      <w:r w:rsidRPr="0052533F">
        <w:rPr>
          <w:iCs/>
        </w:rPr>
        <w:t>sheet)</w:t>
      </w:r>
    </w:p>
    <w:p w14:paraId="6F9A4FCF" w14:textId="77777777" w:rsidR="0052533F" w:rsidRDefault="0052533F" w:rsidP="00644E4F">
      <w:pPr>
        <w:spacing w:after="0"/>
        <w:rPr>
          <w:iCs/>
        </w:rPr>
      </w:pPr>
    </w:p>
    <w:tbl>
      <w:tblPr>
        <w:tblW w:w="9792" w:type="dxa"/>
        <w:tblCellMar>
          <w:left w:w="0" w:type="dxa"/>
          <w:right w:w="0" w:type="dxa"/>
        </w:tblCellMar>
        <w:tblLook w:val="0460" w:firstRow="1" w:lastRow="1" w:firstColumn="0" w:lastColumn="0" w:noHBand="0" w:noVBand="1"/>
      </w:tblPr>
      <w:tblGrid>
        <w:gridCol w:w="5033"/>
        <w:gridCol w:w="2196"/>
        <w:gridCol w:w="2563"/>
      </w:tblGrid>
      <w:tr w:rsidR="0052533F" w:rsidRPr="0052533F" w14:paraId="1A59AFBD" w14:textId="77777777" w:rsidTr="0052533F">
        <w:trPr>
          <w:trHeight w:val="155"/>
        </w:trPr>
        <w:tc>
          <w:tcPr>
            <w:tcW w:w="5033" w:type="dxa"/>
            <w:vMerge w:val="restart"/>
            <w:tcBorders>
              <w:top w:val="single" w:sz="18" w:space="0" w:color="000000"/>
              <w:left w:val="nil"/>
              <w:bottom w:val="single" w:sz="18" w:space="0" w:color="000000"/>
              <w:right w:val="nil"/>
            </w:tcBorders>
            <w:shd w:val="clear" w:color="auto" w:fill="B470A3"/>
            <w:tcMar>
              <w:top w:w="72" w:type="dxa"/>
              <w:left w:w="177" w:type="dxa"/>
              <w:bottom w:w="72" w:type="dxa"/>
              <w:right w:w="177" w:type="dxa"/>
            </w:tcMar>
            <w:vAlign w:val="center"/>
            <w:hideMark/>
          </w:tcPr>
          <w:p w14:paraId="53E79137" w14:textId="77777777" w:rsidR="0052533F" w:rsidRPr="00FC7C22" w:rsidRDefault="0052533F" w:rsidP="0052533F">
            <w:pPr>
              <w:spacing w:after="0" w:line="240" w:lineRule="atLeast"/>
              <w:rPr>
                <w:rFonts w:eastAsia="Times New Roman" w:cs="Arial"/>
              </w:rPr>
            </w:pPr>
            <w:r w:rsidRPr="00FC7C22">
              <w:rPr>
                <w:rFonts w:eastAsia="Times New Roman" w:cs="Arial"/>
                <w:b/>
                <w:bCs/>
                <w:color w:val="FFFFFF" w:themeColor="light1"/>
                <w:kern w:val="24"/>
              </w:rPr>
              <w:t>Item</w:t>
            </w:r>
          </w:p>
        </w:tc>
        <w:tc>
          <w:tcPr>
            <w:tcW w:w="4759" w:type="dxa"/>
            <w:gridSpan w:val="2"/>
            <w:tcBorders>
              <w:top w:val="single" w:sz="18" w:space="0" w:color="000000"/>
              <w:left w:val="nil"/>
              <w:bottom w:val="nil"/>
              <w:right w:val="nil"/>
            </w:tcBorders>
            <w:shd w:val="clear" w:color="auto" w:fill="B470A3"/>
            <w:tcMar>
              <w:top w:w="72" w:type="dxa"/>
              <w:left w:w="177" w:type="dxa"/>
              <w:bottom w:w="72" w:type="dxa"/>
              <w:right w:w="177" w:type="dxa"/>
            </w:tcMar>
            <w:vAlign w:val="center"/>
            <w:hideMark/>
          </w:tcPr>
          <w:p w14:paraId="75BACD0F" w14:textId="77777777" w:rsidR="0052533F" w:rsidRPr="00FC7C22" w:rsidRDefault="0052533F" w:rsidP="0052533F">
            <w:pPr>
              <w:spacing w:after="0" w:line="240" w:lineRule="atLeast"/>
              <w:jc w:val="center"/>
              <w:rPr>
                <w:rFonts w:eastAsia="Times New Roman" w:cs="Arial"/>
              </w:rPr>
            </w:pPr>
            <w:r w:rsidRPr="00FC7C22">
              <w:rPr>
                <w:rFonts w:eastAsia="Times New Roman" w:cs="Arial"/>
                <w:b/>
                <w:bCs/>
                <w:color w:val="FFFFFF" w:themeColor="light1"/>
                <w:kern w:val="24"/>
              </w:rPr>
              <w:t>Risks under Conventional Delivery</w:t>
            </w:r>
          </w:p>
        </w:tc>
      </w:tr>
      <w:tr w:rsidR="0052533F" w:rsidRPr="0052533F" w14:paraId="387B2321" w14:textId="77777777" w:rsidTr="0052533F">
        <w:trPr>
          <w:trHeight w:val="124"/>
        </w:trPr>
        <w:tc>
          <w:tcPr>
            <w:tcW w:w="0" w:type="auto"/>
            <w:vMerge/>
            <w:tcBorders>
              <w:top w:val="single" w:sz="18" w:space="0" w:color="000000"/>
              <w:left w:val="nil"/>
              <w:bottom w:val="single" w:sz="18" w:space="0" w:color="000000"/>
              <w:right w:val="nil"/>
            </w:tcBorders>
            <w:vAlign w:val="center"/>
            <w:hideMark/>
          </w:tcPr>
          <w:p w14:paraId="7DB79FBA" w14:textId="77777777" w:rsidR="0052533F" w:rsidRPr="00FC7C22" w:rsidRDefault="0052533F" w:rsidP="0052533F">
            <w:pPr>
              <w:spacing w:after="0" w:line="240" w:lineRule="auto"/>
              <w:rPr>
                <w:rFonts w:eastAsia="Times New Roman" w:cs="Arial"/>
              </w:rPr>
            </w:pPr>
          </w:p>
        </w:tc>
        <w:tc>
          <w:tcPr>
            <w:tcW w:w="2196" w:type="dxa"/>
            <w:tcBorders>
              <w:top w:val="nil"/>
              <w:left w:val="nil"/>
              <w:bottom w:val="single" w:sz="18" w:space="0" w:color="000000"/>
              <w:right w:val="nil"/>
            </w:tcBorders>
            <w:shd w:val="clear" w:color="auto" w:fill="B470A3"/>
            <w:tcMar>
              <w:top w:w="72" w:type="dxa"/>
              <w:left w:w="177" w:type="dxa"/>
              <w:bottom w:w="72" w:type="dxa"/>
              <w:right w:w="177" w:type="dxa"/>
            </w:tcMar>
            <w:vAlign w:val="center"/>
            <w:hideMark/>
          </w:tcPr>
          <w:p w14:paraId="08779A02" w14:textId="77777777" w:rsidR="0052533F" w:rsidRPr="00FC7C22" w:rsidRDefault="0052533F" w:rsidP="0052533F">
            <w:pPr>
              <w:spacing w:after="0" w:line="192" w:lineRule="atLeast"/>
              <w:jc w:val="center"/>
              <w:rPr>
                <w:rFonts w:eastAsia="Times New Roman" w:cs="Arial"/>
              </w:rPr>
            </w:pPr>
            <w:r w:rsidRPr="00FC7C22">
              <w:rPr>
                <w:rFonts w:eastAsia="Times New Roman" w:cs="Arial"/>
                <w:b/>
                <w:bCs/>
                <w:color w:val="FFFFFF" w:themeColor="background1"/>
                <w:kern w:val="24"/>
              </w:rPr>
              <w:t>NPV risk values</w:t>
            </w:r>
            <w:r w:rsidRPr="00FC7C22">
              <w:rPr>
                <w:rFonts w:eastAsia="Times New Roman" w:cs="Arial"/>
                <w:b/>
                <w:bCs/>
                <w:color w:val="FFFFFF" w:themeColor="background1"/>
                <w:kern w:val="24"/>
              </w:rPr>
              <w:br/>
              <w:t>($M, Column G)</w:t>
            </w:r>
          </w:p>
        </w:tc>
        <w:tc>
          <w:tcPr>
            <w:tcW w:w="2562" w:type="dxa"/>
            <w:tcBorders>
              <w:top w:val="nil"/>
              <w:left w:val="nil"/>
              <w:bottom w:val="single" w:sz="18" w:space="0" w:color="000000"/>
              <w:right w:val="nil"/>
            </w:tcBorders>
            <w:shd w:val="clear" w:color="auto" w:fill="B470A3"/>
            <w:tcMar>
              <w:top w:w="72" w:type="dxa"/>
              <w:left w:w="177" w:type="dxa"/>
              <w:bottom w:w="72" w:type="dxa"/>
              <w:right w:w="177" w:type="dxa"/>
            </w:tcMar>
            <w:vAlign w:val="center"/>
            <w:hideMark/>
          </w:tcPr>
          <w:p w14:paraId="6F5C06BB" w14:textId="77777777" w:rsidR="0052533F" w:rsidRPr="00FC7C22" w:rsidRDefault="0052533F" w:rsidP="0052533F">
            <w:pPr>
              <w:spacing w:after="0" w:line="192" w:lineRule="atLeast"/>
              <w:jc w:val="center"/>
              <w:rPr>
                <w:rFonts w:eastAsia="Times New Roman" w:cs="Arial"/>
              </w:rPr>
            </w:pPr>
            <w:r w:rsidRPr="00FC7C22">
              <w:rPr>
                <w:rFonts w:eastAsia="Times New Roman" w:cs="Arial"/>
                <w:b/>
                <w:bCs/>
                <w:color w:val="FFFFFF" w:themeColor="background1"/>
                <w:kern w:val="24"/>
              </w:rPr>
              <w:t>Nominal risk values</w:t>
            </w:r>
            <w:r w:rsidRPr="00FC7C22">
              <w:rPr>
                <w:rFonts w:eastAsia="Times New Roman" w:cs="Arial"/>
                <w:b/>
                <w:bCs/>
                <w:color w:val="FFFFFF" w:themeColor="background1"/>
                <w:kern w:val="24"/>
              </w:rPr>
              <w:br/>
              <w:t>($M, Column H)</w:t>
            </w:r>
          </w:p>
        </w:tc>
      </w:tr>
      <w:tr w:rsidR="0052533F" w:rsidRPr="0052533F" w14:paraId="4C24FB96" w14:textId="77777777" w:rsidTr="0052533F">
        <w:trPr>
          <w:trHeight w:val="146"/>
        </w:trPr>
        <w:tc>
          <w:tcPr>
            <w:tcW w:w="5033" w:type="dxa"/>
            <w:tcBorders>
              <w:top w:val="single" w:sz="18" w:space="0" w:color="000000"/>
              <w:left w:val="nil"/>
              <w:bottom w:val="nil"/>
              <w:right w:val="nil"/>
            </w:tcBorders>
            <w:shd w:val="clear" w:color="auto" w:fill="auto"/>
            <w:tcMar>
              <w:top w:w="72" w:type="dxa"/>
              <w:left w:w="144" w:type="dxa"/>
              <w:bottom w:w="72" w:type="dxa"/>
              <w:right w:w="144" w:type="dxa"/>
            </w:tcMar>
            <w:vAlign w:val="center"/>
            <w:hideMark/>
          </w:tcPr>
          <w:p w14:paraId="66FF71BE" w14:textId="527CEDDA" w:rsidR="0052533F" w:rsidRPr="00FC7C22" w:rsidRDefault="00787898" w:rsidP="0052533F">
            <w:pPr>
              <w:spacing w:after="0" w:line="226" w:lineRule="atLeast"/>
              <w:rPr>
                <w:rFonts w:eastAsia="Times New Roman" w:cs="Arial"/>
              </w:rPr>
            </w:pPr>
            <w:r>
              <w:rPr>
                <w:rFonts w:eastAsia="Times New Roman" w:cs="Arial"/>
                <w:color w:val="000000" w:themeColor="dark1"/>
                <w:kern w:val="24"/>
              </w:rPr>
              <w:t xml:space="preserve">Total </w:t>
            </w:r>
            <w:r w:rsidR="0052533F" w:rsidRPr="00FC7C22">
              <w:rPr>
                <w:rFonts w:eastAsia="Times New Roman" w:cs="Arial"/>
                <w:color w:val="000000" w:themeColor="dark1"/>
                <w:kern w:val="24"/>
              </w:rPr>
              <w:t>Pure risks (row 28)</w:t>
            </w:r>
          </w:p>
        </w:tc>
        <w:tc>
          <w:tcPr>
            <w:tcW w:w="2196" w:type="dxa"/>
            <w:tcBorders>
              <w:top w:val="single" w:sz="18" w:space="0" w:color="000000"/>
              <w:left w:val="nil"/>
              <w:bottom w:val="nil"/>
              <w:right w:val="nil"/>
            </w:tcBorders>
            <w:shd w:val="clear" w:color="auto" w:fill="auto"/>
            <w:tcMar>
              <w:top w:w="20" w:type="dxa"/>
              <w:left w:w="20" w:type="dxa"/>
              <w:bottom w:w="0" w:type="dxa"/>
              <w:right w:w="20" w:type="dxa"/>
            </w:tcMar>
            <w:vAlign w:val="center"/>
            <w:hideMark/>
          </w:tcPr>
          <w:p w14:paraId="70BB6E2C" w14:textId="2EBD4B84" w:rsidR="0052533F" w:rsidRPr="002F4CB8" w:rsidRDefault="00787898" w:rsidP="003769D0">
            <w:pPr>
              <w:spacing w:after="0" w:line="240" w:lineRule="auto"/>
              <w:jc w:val="center"/>
              <w:rPr>
                <w:rFonts w:eastAsia="Times New Roman" w:cs="Arial"/>
                <w:b/>
                <w:color w:val="FF0000"/>
              </w:rPr>
            </w:pPr>
            <w:r w:rsidRPr="002F4CB8">
              <w:rPr>
                <w:rFonts w:eastAsia="Times New Roman" w:cs="Arial"/>
                <w:b/>
                <w:color w:val="FF0000"/>
              </w:rPr>
              <w:t>69</w:t>
            </w:r>
          </w:p>
        </w:tc>
        <w:tc>
          <w:tcPr>
            <w:tcW w:w="2562" w:type="dxa"/>
            <w:tcBorders>
              <w:top w:val="single" w:sz="18" w:space="0" w:color="000000"/>
              <w:left w:val="nil"/>
              <w:bottom w:val="nil"/>
              <w:right w:val="nil"/>
            </w:tcBorders>
            <w:shd w:val="clear" w:color="auto" w:fill="auto"/>
            <w:tcMar>
              <w:top w:w="20" w:type="dxa"/>
              <w:left w:w="20" w:type="dxa"/>
              <w:bottom w:w="0" w:type="dxa"/>
              <w:right w:w="20" w:type="dxa"/>
            </w:tcMar>
            <w:vAlign w:val="center"/>
            <w:hideMark/>
          </w:tcPr>
          <w:p w14:paraId="617E7A41" w14:textId="5F2CBDDF" w:rsidR="0052533F" w:rsidRPr="002F4CB8" w:rsidRDefault="00787898" w:rsidP="003769D0">
            <w:pPr>
              <w:spacing w:after="0" w:line="240" w:lineRule="auto"/>
              <w:jc w:val="center"/>
              <w:rPr>
                <w:rFonts w:eastAsia="Times New Roman" w:cs="Arial"/>
                <w:b/>
                <w:color w:val="FF0000"/>
              </w:rPr>
            </w:pPr>
            <w:r w:rsidRPr="002F4CB8">
              <w:rPr>
                <w:rFonts w:eastAsia="Times New Roman" w:cs="Arial"/>
                <w:b/>
                <w:color w:val="FF0000"/>
              </w:rPr>
              <w:t>121</w:t>
            </w:r>
          </w:p>
        </w:tc>
      </w:tr>
      <w:tr w:rsidR="0052533F" w:rsidRPr="0052533F" w14:paraId="30F029B3" w14:textId="77777777" w:rsidTr="0052533F">
        <w:trPr>
          <w:trHeight w:val="138"/>
        </w:trPr>
        <w:tc>
          <w:tcPr>
            <w:tcW w:w="5033" w:type="dxa"/>
            <w:tcBorders>
              <w:top w:val="nil"/>
              <w:left w:val="nil"/>
              <w:bottom w:val="nil"/>
              <w:right w:val="nil"/>
            </w:tcBorders>
            <w:shd w:val="clear" w:color="auto" w:fill="E7E7E7"/>
            <w:tcMar>
              <w:top w:w="72" w:type="dxa"/>
              <w:left w:w="144" w:type="dxa"/>
              <w:bottom w:w="72" w:type="dxa"/>
              <w:right w:w="144" w:type="dxa"/>
            </w:tcMar>
            <w:vAlign w:val="center"/>
            <w:hideMark/>
          </w:tcPr>
          <w:p w14:paraId="41D47984" w14:textId="1DBD95DF" w:rsidR="0052533F" w:rsidRPr="00FC7C22" w:rsidRDefault="00787898" w:rsidP="0052533F">
            <w:pPr>
              <w:spacing w:after="0" w:line="214" w:lineRule="atLeast"/>
              <w:rPr>
                <w:rFonts w:eastAsia="Times New Roman" w:cs="Arial"/>
              </w:rPr>
            </w:pPr>
            <w:r>
              <w:rPr>
                <w:rFonts w:eastAsia="Times New Roman" w:cs="Arial"/>
                <w:color w:val="000000" w:themeColor="dark1"/>
                <w:kern w:val="24"/>
              </w:rPr>
              <w:t xml:space="preserve">Total </w:t>
            </w:r>
            <w:r w:rsidR="0052533F" w:rsidRPr="00FC7C22">
              <w:rPr>
                <w:rFonts w:eastAsia="Times New Roman" w:cs="Arial"/>
                <w:color w:val="000000" w:themeColor="dark1"/>
                <w:kern w:val="24"/>
              </w:rPr>
              <w:t>Base variability (row 34)</w:t>
            </w:r>
          </w:p>
        </w:tc>
        <w:tc>
          <w:tcPr>
            <w:tcW w:w="2196" w:type="dxa"/>
            <w:tcBorders>
              <w:top w:val="nil"/>
              <w:left w:val="nil"/>
              <w:bottom w:val="nil"/>
              <w:right w:val="nil"/>
            </w:tcBorders>
            <w:shd w:val="clear" w:color="auto" w:fill="E7E7E7"/>
            <w:tcMar>
              <w:top w:w="20" w:type="dxa"/>
              <w:left w:w="20" w:type="dxa"/>
              <w:bottom w:w="0" w:type="dxa"/>
              <w:right w:w="20" w:type="dxa"/>
            </w:tcMar>
            <w:vAlign w:val="center"/>
            <w:hideMark/>
          </w:tcPr>
          <w:p w14:paraId="0F46967F" w14:textId="0D2B3F0B" w:rsidR="0052533F" w:rsidRPr="002F4CB8" w:rsidRDefault="00787898" w:rsidP="003769D0">
            <w:pPr>
              <w:spacing w:after="0" w:line="240" w:lineRule="auto"/>
              <w:jc w:val="center"/>
              <w:rPr>
                <w:rFonts w:eastAsia="Times New Roman" w:cs="Arial"/>
                <w:b/>
                <w:color w:val="FF0000"/>
              </w:rPr>
            </w:pPr>
            <w:r w:rsidRPr="002F4CB8">
              <w:rPr>
                <w:rFonts w:eastAsia="Times New Roman" w:cs="Arial"/>
                <w:b/>
                <w:color w:val="FF0000"/>
              </w:rPr>
              <w:t>79</w:t>
            </w:r>
          </w:p>
        </w:tc>
        <w:tc>
          <w:tcPr>
            <w:tcW w:w="2562" w:type="dxa"/>
            <w:tcBorders>
              <w:top w:val="nil"/>
              <w:left w:val="nil"/>
              <w:bottom w:val="nil"/>
              <w:right w:val="nil"/>
            </w:tcBorders>
            <w:shd w:val="clear" w:color="auto" w:fill="E7E7E7"/>
            <w:tcMar>
              <w:top w:w="20" w:type="dxa"/>
              <w:left w:w="20" w:type="dxa"/>
              <w:bottom w:w="0" w:type="dxa"/>
              <w:right w:w="20" w:type="dxa"/>
            </w:tcMar>
            <w:vAlign w:val="center"/>
            <w:hideMark/>
          </w:tcPr>
          <w:p w14:paraId="22083BF0" w14:textId="4F1E30DB" w:rsidR="0052533F" w:rsidRPr="002F4CB8" w:rsidRDefault="00787898" w:rsidP="003769D0">
            <w:pPr>
              <w:spacing w:after="0" w:line="240" w:lineRule="auto"/>
              <w:jc w:val="center"/>
              <w:rPr>
                <w:rFonts w:eastAsia="Times New Roman" w:cs="Arial"/>
                <w:b/>
                <w:color w:val="FF0000"/>
              </w:rPr>
            </w:pPr>
            <w:r w:rsidRPr="002F4CB8">
              <w:rPr>
                <w:rFonts w:eastAsia="Times New Roman" w:cs="Arial"/>
                <w:b/>
                <w:color w:val="FF0000"/>
              </w:rPr>
              <w:t>112</w:t>
            </w:r>
          </w:p>
        </w:tc>
      </w:tr>
      <w:tr w:rsidR="0052533F" w:rsidRPr="0052533F" w14:paraId="3360B174" w14:textId="77777777" w:rsidTr="0052533F">
        <w:trPr>
          <w:trHeight w:val="435"/>
        </w:trPr>
        <w:tc>
          <w:tcPr>
            <w:tcW w:w="5033" w:type="dxa"/>
            <w:tcBorders>
              <w:top w:val="nil"/>
              <w:left w:val="nil"/>
              <w:bottom w:val="nil"/>
              <w:right w:val="nil"/>
            </w:tcBorders>
            <w:shd w:val="clear" w:color="auto" w:fill="auto"/>
            <w:tcMar>
              <w:top w:w="72" w:type="dxa"/>
              <w:left w:w="144" w:type="dxa"/>
              <w:bottom w:w="72" w:type="dxa"/>
              <w:right w:w="144" w:type="dxa"/>
            </w:tcMar>
            <w:vAlign w:val="center"/>
            <w:hideMark/>
          </w:tcPr>
          <w:p w14:paraId="087C84C2" w14:textId="77777777" w:rsidR="0052533F" w:rsidRPr="00FC7C22" w:rsidRDefault="0052533F" w:rsidP="0052533F">
            <w:pPr>
              <w:spacing w:after="0" w:line="216" w:lineRule="auto"/>
              <w:rPr>
                <w:rFonts w:eastAsia="Times New Roman" w:cs="Arial"/>
              </w:rPr>
            </w:pPr>
            <w:r w:rsidRPr="00FC7C22">
              <w:rPr>
                <w:rFonts w:eastAsia="Times New Roman" w:cs="Arial"/>
                <w:color w:val="000000" w:themeColor="dark1"/>
                <w:kern w:val="24"/>
              </w:rPr>
              <w:t>Lifecycle performance risk premium (row 36)</w:t>
            </w:r>
          </w:p>
        </w:tc>
        <w:tc>
          <w:tcPr>
            <w:tcW w:w="2196" w:type="dxa"/>
            <w:tcBorders>
              <w:top w:val="nil"/>
              <w:left w:val="nil"/>
              <w:bottom w:val="nil"/>
              <w:right w:val="nil"/>
            </w:tcBorders>
            <w:shd w:val="clear" w:color="auto" w:fill="auto"/>
            <w:tcMar>
              <w:top w:w="20" w:type="dxa"/>
              <w:left w:w="20" w:type="dxa"/>
              <w:bottom w:w="0" w:type="dxa"/>
              <w:right w:w="20" w:type="dxa"/>
            </w:tcMar>
            <w:vAlign w:val="center"/>
            <w:hideMark/>
          </w:tcPr>
          <w:p w14:paraId="2BFDB9F4" w14:textId="544533AC" w:rsidR="0052533F" w:rsidRPr="002F4CB8" w:rsidRDefault="00787898" w:rsidP="003769D0">
            <w:pPr>
              <w:spacing w:after="0" w:line="240" w:lineRule="auto"/>
              <w:jc w:val="center"/>
              <w:rPr>
                <w:rFonts w:eastAsia="Times New Roman" w:cs="Arial"/>
                <w:b/>
                <w:color w:val="FF0000"/>
              </w:rPr>
            </w:pPr>
            <w:r w:rsidRPr="002F4CB8">
              <w:rPr>
                <w:rFonts w:eastAsia="Times New Roman" w:cs="Arial"/>
                <w:b/>
                <w:color w:val="FF0000"/>
              </w:rPr>
              <w:t>228</w:t>
            </w:r>
          </w:p>
        </w:tc>
        <w:tc>
          <w:tcPr>
            <w:tcW w:w="2562" w:type="dxa"/>
            <w:tcBorders>
              <w:top w:val="nil"/>
              <w:left w:val="nil"/>
              <w:bottom w:val="nil"/>
              <w:right w:val="nil"/>
            </w:tcBorders>
            <w:shd w:val="clear" w:color="auto" w:fill="auto"/>
            <w:tcMar>
              <w:top w:w="20" w:type="dxa"/>
              <w:left w:w="20" w:type="dxa"/>
              <w:bottom w:w="0" w:type="dxa"/>
              <w:right w:w="20" w:type="dxa"/>
            </w:tcMar>
            <w:vAlign w:val="center"/>
            <w:hideMark/>
          </w:tcPr>
          <w:p w14:paraId="3FD39750" w14:textId="7DDC3FD2" w:rsidR="0052533F" w:rsidRPr="002F4CB8" w:rsidRDefault="00787898" w:rsidP="003769D0">
            <w:pPr>
              <w:spacing w:after="0" w:line="240" w:lineRule="auto"/>
              <w:jc w:val="center"/>
              <w:rPr>
                <w:rFonts w:eastAsia="Times New Roman" w:cs="Arial"/>
                <w:b/>
                <w:color w:val="FF0000"/>
              </w:rPr>
            </w:pPr>
            <w:r w:rsidRPr="002F4CB8">
              <w:rPr>
                <w:rFonts w:eastAsia="Times New Roman" w:cs="Arial"/>
                <w:b/>
                <w:color w:val="FF0000"/>
              </w:rPr>
              <w:t>574</w:t>
            </w:r>
          </w:p>
        </w:tc>
      </w:tr>
      <w:tr w:rsidR="0052533F" w:rsidRPr="0052533F" w14:paraId="2A747113" w14:textId="77777777" w:rsidTr="0052533F">
        <w:trPr>
          <w:trHeight w:val="222"/>
        </w:trPr>
        <w:tc>
          <w:tcPr>
            <w:tcW w:w="5033" w:type="dxa"/>
            <w:tcBorders>
              <w:top w:val="nil"/>
              <w:left w:val="nil"/>
              <w:bottom w:val="double" w:sz="12" w:space="0" w:color="000000"/>
              <w:right w:val="nil"/>
            </w:tcBorders>
            <w:shd w:val="clear" w:color="auto" w:fill="E7E7E7"/>
            <w:tcMar>
              <w:top w:w="72" w:type="dxa"/>
              <w:left w:w="144" w:type="dxa"/>
              <w:bottom w:w="72" w:type="dxa"/>
              <w:right w:w="144" w:type="dxa"/>
            </w:tcMar>
            <w:vAlign w:val="center"/>
            <w:hideMark/>
          </w:tcPr>
          <w:p w14:paraId="1F847D5E" w14:textId="77777777" w:rsidR="0052533F" w:rsidRPr="00FC7C22" w:rsidRDefault="0052533F" w:rsidP="0052533F">
            <w:pPr>
              <w:spacing w:after="0" w:line="216" w:lineRule="auto"/>
              <w:rPr>
                <w:rFonts w:eastAsia="Times New Roman" w:cs="Arial"/>
              </w:rPr>
            </w:pPr>
            <w:r w:rsidRPr="00FC7C22">
              <w:rPr>
                <w:rFonts w:eastAsia="Times New Roman" w:cs="Arial"/>
                <w:color w:val="000000" w:themeColor="dark1"/>
                <w:kern w:val="24"/>
              </w:rPr>
              <w:t>Revenue uncertainty adjustment (row 38)</w:t>
            </w:r>
          </w:p>
        </w:tc>
        <w:tc>
          <w:tcPr>
            <w:tcW w:w="2196" w:type="dxa"/>
            <w:tcBorders>
              <w:top w:val="nil"/>
              <w:left w:val="nil"/>
              <w:bottom w:val="double" w:sz="12" w:space="0" w:color="000000"/>
              <w:right w:val="nil"/>
            </w:tcBorders>
            <w:shd w:val="clear" w:color="auto" w:fill="E7E7E7"/>
            <w:tcMar>
              <w:top w:w="20" w:type="dxa"/>
              <w:left w:w="20" w:type="dxa"/>
              <w:bottom w:w="0" w:type="dxa"/>
              <w:right w:w="20" w:type="dxa"/>
            </w:tcMar>
            <w:vAlign w:val="center"/>
            <w:hideMark/>
          </w:tcPr>
          <w:p w14:paraId="38CA4AE7" w14:textId="0589628A" w:rsidR="0052533F" w:rsidRPr="002F4CB8" w:rsidRDefault="00787898" w:rsidP="003769D0">
            <w:pPr>
              <w:spacing w:after="0" w:line="240" w:lineRule="auto"/>
              <w:jc w:val="center"/>
              <w:rPr>
                <w:rFonts w:eastAsia="Times New Roman" w:cs="Arial"/>
                <w:b/>
                <w:color w:val="FF0000"/>
              </w:rPr>
            </w:pPr>
            <w:r w:rsidRPr="002F4CB8">
              <w:rPr>
                <w:rFonts w:eastAsia="Times New Roman" w:cs="Arial"/>
                <w:b/>
                <w:color w:val="FF0000"/>
              </w:rPr>
              <w:t>130</w:t>
            </w:r>
          </w:p>
        </w:tc>
        <w:tc>
          <w:tcPr>
            <w:tcW w:w="2562" w:type="dxa"/>
            <w:tcBorders>
              <w:top w:val="nil"/>
              <w:left w:val="nil"/>
              <w:bottom w:val="double" w:sz="12" w:space="0" w:color="000000"/>
              <w:right w:val="nil"/>
            </w:tcBorders>
            <w:shd w:val="clear" w:color="auto" w:fill="E7E7E7"/>
            <w:tcMar>
              <w:top w:w="20" w:type="dxa"/>
              <w:left w:w="20" w:type="dxa"/>
              <w:bottom w:w="0" w:type="dxa"/>
              <w:right w:w="20" w:type="dxa"/>
            </w:tcMar>
            <w:vAlign w:val="center"/>
            <w:hideMark/>
          </w:tcPr>
          <w:p w14:paraId="43A84BE5" w14:textId="0295F65E" w:rsidR="0052533F" w:rsidRPr="002F4CB8" w:rsidRDefault="00787898" w:rsidP="003769D0">
            <w:pPr>
              <w:spacing w:after="0" w:line="240" w:lineRule="auto"/>
              <w:jc w:val="center"/>
              <w:rPr>
                <w:rFonts w:eastAsia="Times New Roman" w:cs="Arial"/>
                <w:b/>
                <w:color w:val="FF0000"/>
              </w:rPr>
            </w:pPr>
            <w:r w:rsidRPr="002F4CB8">
              <w:rPr>
                <w:rFonts w:eastAsia="Times New Roman" w:cs="Arial"/>
                <w:b/>
                <w:color w:val="FF0000"/>
              </w:rPr>
              <w:t>377</w:t>
            </w:r>
          </w:p>
        </w:tc>
      </w:tr>
      <w:tr w:rsidR="0052533F" w:rsidRPr="0052533F" w14:paraId="14172BEB" w14:textId="77777777" w:rsidTr="0052533F">
        <w:trPr>
          <w:trHeight w:val="144"/>
        </w:trPr>
        <w:tc>
          <w:tcPr>
            <w:tcW w:w="5033" w:type="dxa"/>
            <w:tcBorders>
              <w:top w:val="double" w:sz="12" w:space="0" w:color="000000"/>
              <w:left w:val="nil"/>
              <w:bottom w:val="single" w:sz="18" w:space="0" w:color="000000"/>
              <w:right w:val="nil"/>
            </w:tcBorders>
            <w:shd w:val="clear" w:color="auto" w:fill="auto"/>
            <w:tcMar>
              <w:top w:w="72" w:type="dxa"/>
              <w:left w:w="144" w:type="dxa"/>
              <w:bottom w:w="72" w:type="dxa"/>
              <w:right w:w="144" w:type="dxa"/>
            </w:tcMar>
            <w:vAlign w:val="center"/>
            <w:hideMark/>
          </w:tcPr>
          <w:p w14:paraId="5022BA6C" w14:textId="4E192A65" w:rsidR="0052533F" w:rsidRPr="00FC7C22" w:rsidRDefault="0052533F" w:rsidP="0052533F">
            <w:pPr>
              <w:spacing w:after="0" w:line="224" w:lineRule="atLeast"/>
              <w:rPr>
                <w:rFonts w:eastAsia="Times New Roman" w:cs="Arial"/>
              </w:rPr>
            </w:pPr>
            <w:r w:rsidRPr="00FC7C22">
              <w:rPr>
                <w:rFonts w:eastAsia="Times New Roman" w:cs="Arial"/>
                <w:b/>
                <w:bCs/>
                <w:color w:val="000000" w:themeColor="dark1"/>
                <w:kern w:val="24"/>
              </w:rPr>
              <w:t>Total risks under Conventional Delivery</w:t>
            </w:r>
            <w:r w:rsidR="00787898">
              <w:rPr>
                <w:rFonts w:eastAsia="Times New Roman" w:cs="Arial"/>
                <w:b/>
                <w:bCs/>
                <w:color w:val="000000" w:themeColor="dark1"/>
                <w:kern w:val="24"/>
              </w:rPr>
              <w:t xml:space="preserve"> (row 45)</w:t>
            </w:r>
          </w:p>
        </w:tc>
        <w:tc>
          <w:tcPr>
            <w:tcW w:w="2196" w:type="dxa"/>
            <w:tcBorders>
              <w:top w:val="double" w:sz="12" w:space="0" w:color="000000"/>
              <w:left w:val="nil"/>
              <w:bottom w:val="single" w:sz="18" w:space="0" w:color="000000"/>
              <w:right w:val="nil"/>
            </w:tcBorders>
            <w:shd w:val="clear" w:color="auto" w:fill="auto"/>
            <w:tcMar>
              <w:top w:w="20" w:type="dxa"/>
              <w:left w:w="20" w:type="dxa"/>
              <w:bottom w:w="0" w:type="dxa"/>
              <w:right w:w="20" w:type="dxa"/>
            </w:tcMar>
            <w:vAlign w:val="center"/>
            <w:hideMark/>
          </w:tcPr>
          <w:p w14:paraId="5F5696E0" w14:textId="367C5204" w:rsidR="0052533F" w:rsidRPr="002F4CB8" w:rsidRDefault="00787898" w:rsidP="003769D0">
            <w:pPr>
              <w:spacing w:after="0" w:line="240" w:lineRule="auto"/>
              <w:jc w:val="center"/>
              <w:rPr>
                <w:rFonts w:eastAsia="Times New Roman" w:cs="Arial"/>
                <w:b/>
                <w:color w:val="FF0000"/>
              </w:rPr>
            </w:pPr>
            <w:r w:rsidRPr="002F4CB8">
              <w:rPr>
                <w:rFonts w:eastAsia="Times New Roman" w:cs="Arial"/>
                <w:b/>
                <w:color w:val="FF0000"/>
              </w:rPr>
              <w:t>505</w:t>
            </w:r>
          </w:p>
        </w:tc>
        <w:tc>
          <w:tcPr>
            <w:tcW w:w="2562" w:type="dxa"/>
            <w:tcBorders>
              <w:top w:val="double" w:sz="12" w:space="0" w:color="000000"/>
              <w:left w:val="nil"/>
              <w:bottom w:val="single" w:sz="18" w:space="0" w:color="000000"/>
              <w:right w:val="nil"/>
            </w:tcBorders>
            <w:shd w:val="clear" w:color="auto" w:fill="auto"/>
            <w:tcMar>
              <w:top w:w="20" w:type="dxa"/>
              <w:left w:w="20" w:type="dxa"/>
              <w:bottom w:w="0" w:type="dxa"/>
              <w:right w:w="20" w:type="dxa"/>
            </w:tcMar>
            <w:vAlign w:val="center"/>
            <w:hideMark/>
          </w:tcPr>
          <w:p w14:paraId="17E700D2" w14:textId="5A632E74" w:rsidR="0052533F" w:rsidRPr="002F4CB8" w:rsidRDefault="00787898" w:rsidP="003769D0">
            <w:pPr>
              <w:spacing w:after="0" w:line="240" w:lineRule="auto"/>
              <w:jc w:val="center"/>
              <w:rPr>
                <w:rFonts w:eastAsia="Times New Roman" w:cs="Arial"/>
                <w:b/>
                <w:color w:val="FF0000"/>
              </w:rPr>
            </w:pPr>
            <w:r w:rsidRPr="002F4CB8">
              <w:rPr>
                <w:rFonts w:eastAsia="Times New Roman" w:cs="Arial"/>
                <w:b/>
                <w:color w:val="FF0000"/>
              </w:rPr>
              <w:t>1,184</w:t>
            </w:r>
          </w:p>
        </w:tc>
      </w:tr>
    </w:tbl>
    <w:p w14:paraId="1B2A3422" w14:textId="77777777" w:rsidR="0052533F" w:rsidRDefault="0052533F" w:rsidP="00644E4F">
      <w:pPr>
        <w:spacing w:after="0"/>
        <w:rPr>
          <w:iCs/>
        </w:rPr>
      </w:pPr>
    </w:p>
    <w:p w14:paraId="45187870" w14:textId="77777777" w:rsidR="00454185" w:rsidRDefault="00454185" w:rsidP="00002F3D">
      <w:pPr>
        <w:rPr>
          <w:b/>
          <w:i/>
          <w:iCs/>
          <w:u w:val="single"/>
        </w:rPr>
      </w:pPr>
    </w:p>
    <w:p w14:paraId="1B6C50AC" w14:textId="0B09E233" w:rsidR="002066E5" w:rsidRDefault="002066E5" w:rsidP="00002F3D">
      <w:r w:rsidRPr="002066E5">
        <w:rPr>
          <w:b/>
          <w:i/>
          <w:iCs/>
          <w:u w:val="single"/>
        </w:rPr>
        <w:t xml:space="preserve">Step </w:t>
      </w:r>
      <w:r>
        <w:rPr>
          <w:b/>
          <w:i/>
          <w:iCs/>
          <w:u w:val="single"/>
        </w:rPr>
        <w:t>2</w:t>
      </w:r>
      <w:r w:rsidRPr="002066E5">
        <w:rPr>
          <w:b/>
          <w:i/>
          <w:iCs/>
          <w:u w:val="single"/>
        </w:rPr>
        <w:t xml:space="preserve">: </w:t>
      </w:r>
      <w:r w:rsidR="0052533F">
        <w:rPr>
          <w:b/>
          <w:i/>
          <w:iCs/>
          <w:u w:val="single"/>
        </w:rPr>
        <w:t>P3 Option</w:t>
      </w:r>
      <w:r>
        <w:rPr>
          <w:iCs/>
        </w:rPr>
        <w:t xml:space="preserve">: </w:t>
      </w:r>
      <w:r w:rsidRPr="005D5281">
        <w:rPr>
          <w:iCs/>
        </w:rPr>
        <w:t xml:space="preserve"> </w:t>
      </w:r>
    </w:p>
    <w:p w14:paraId="5EA149F9" w14:textId="248AED23" w:rsidR="0042183E" w:rsidRPr="0052533F" w:rsidRDefault="0052533F" w:rsidP="0052533F">
      <w:pPr>
        <w:spacing w:after="0" w:line="240" w:lineRule="auto"/>
      </w:pPr>
      <w:r w:rsidRPr="0052533F">
        <w:t xml:space="preserve">Differences between P3 and Conventional Delivery that could affect P3 risk values may include: </w:t>
      </w:r>
    </w:p>
    <w:p w14:paraId="0C38B43F" w14:textId="77777777" w:rsidR="003E5960" w:rsidRPr="0052533F" w:rsidRDefault="0042183E" w:rsidP="00BA4BC6">
      <w:pPr>
        <w:numPr>
          <w:ilvl w:val="0"/>
          <w:numId w:val="9"/>
        </w:numPr>
        <w:spacing w:after="0" w:line="240" w:lineRule="auto"/>
      </w:pPr>
      <w:r w:rsidRPr="0052533F">
        <w:t>P3 differences with regard to lifecycle costs and risk management, potentially leading to a reduction in costs and risk valuation</w:t>
      </w:r>
    </w:p>
    <w:p w14:paraId="76679B17" w14:textId="77777777" w:rsidR="003E5960" w:rsidRPr="0052533F" w:rsidRDefault="0042183E" w:rsidP="00BA4BC6">
      <w:pPr>
        <w:numPr>
          <w:ilvl w:val="0"/>
          <w:numId w:val="9"/>
        </w:numPr>
        <w:spacing w:after="0" w:line="240" w:lineRule="auto"/>
      </w:pPr>
      <w:r w:rsidRPr="0052533F">
        <w:t>Share of pure risks transferred to the concessionaire</w:t>
      </w:r>
    </w:p>
    <w:p w14:paraId="72E26109" w14:textId="77777777" w:rsidR="0052533F" w:rsidRDefault="0052533F" w:rsidP="0052533F">
      <w:pPr>
        <w:spacing w:after="0" w:line="240" w:lineRule="auto"/>
        <w:rPr>
          <w:i/>
          <w:iCs/>
        </w:rPr>
      </w:pPr>
    </w:p>
    <w:p w14:paraId="4AC4ACCA" w14:textId="77777777" w:rsidR="003769D0" w:rsidRDefault="0052533F" w:rsidP="0052533F">
      <w:pPr>
        <w:spacing w:after="0" w:line="240" w:lineRule="auto"/>
        <w:rPr>
          <w:iCs/>
        </w:rPr>
      </w:pPr>
      <w:r w:rsidRPr="0052533F">
        <w:rPr>
          <w:iCs/>
        </w:rPr>
        <w:t xml:space="preserve">Review the P3 differences assumed for pure risks and base variability in the </w:t>
      </w:r>
      <w:proofErr w:type="spellStart"/>
      <w:r w:rsidRPr="00E93D7D">
        <w:rPr>
          <w:b/>
          <w:bCs/>
          <w:i/>
          <w:iCs/>
        </w:rPr>
        <w:t>InpRisk</w:t>
      </w:r>
      <w:proofErr w:type="spellEnd"/>
      <w:r w:rsidRPr="0052533F">
        <w:rPr>
          <w:iCs/>
        </w:rPr>
        <w:t xml:space="preserve"> sheet.</w:t>
      </w:r>
      <w:r w:rsidR="00E93D7D">
        <w:rPr>
          <w:iCs/>
        </w:rPr>
        <w:t xml:space="preserve">  </w:t>
      </w:r>
    </w:p>
    <w:p w14:paraId="1A6A9AC5" w14:textId="77777777" w:rsidR="003769D0" w:rsidRDefault="003769D0" w:rsidP="0052533F">
      <w:pPr>
        <w:spacing w:after="0" w:line="240" w:lineRule="auto"/>
        <w:rPr>
          <w:iCs/>
        </w:rPr>
      </w:pPr>
    </w:p>
    <w:p w14:paraId="1D2890A1" w14:textId="7B17D116" w:rsidR="00454185" w:rsidRDefault="0052533F" w:rsidP="0052533F">
      <w:pPr>
        <w:spacing w:after="0" w:line="240" w:lineRule="auto"/>
        <w:rPr>
          <w:iCs/>
        </w:rPr>
      </w:pPr>
      <w:r w:rsidRPr="0052533F">
        <w:rPr>
          <w:iCs/>
        </w:rPr>
        <w:t xml:space="preserve">Review and record below the retained P3 risk values for VfM (see </w:t>
      </w:r>
      <w:r w:rsidRPr="00E93D7D">
        <w:rPr>
          <w:b/>
          <w:bCs/>
          <w:i/>
          <w:iCs/>
        </w:rPr>
        <w:t>Risk Output for VfM</w:t>
      </w:r>
      <w:r w:rsidRPr="0052533F">
        <w:rPr>
          <w:b/>
          <w:bCs/>
          <w:iCs/>
        </w:rPr>
        <w:t xml:space="preserve"> </w:t>
      </w:r>
      <w:r w:rsidRPr="0052533F">
        <w:rPr>
          <w:iCs/>
        </w:rPr>
        <w:t>sheet).</w:t>
      </w:r>
    </w:p>
    <w:p w14:paraId="5BBD44CF" w14:textId="77777777" w:rsidR="00454185" w:rsidRDefault="00454185">
      <w:pPr>
        <w:rPr>
          <w:iCs/>
        </w:rPr>
      </w:pPr>
      <w:r>
        <w:rPr>
          <w:iCs/>
        </w:rPr>
        <w:br w:type="page"/>
      </w:r>
    </w:p>
    <w:tbl>
      <w:tblPr>
        <w:tblW w:w="9146" w:type="dxa"/>
        <w:tblCellMar>
          <w:left w:w="0" w:type="dxa"/>
          <w:right w:w="0" w:type="dxa"/>
        </w:tblCellMar>
        <w:tblLook w:val="0460" w:firstRow="1" w:lastRow="1" w:firstColumn="0" w:lastColumn="0" w:noHBand="0" w:noVBand="1"/>
      </w:tblPr>
      <w:tblGrid>
        <w:gridCol w:w="4701"/>
        <w:gridCol w:w="2051"/>
        <w:gridCol w:w="2394"/>
      </w:tblGrid>
      <w:tr w:rsidR="0052533F" w:rsidRPr="0052533F" w14:paraId="6C430DBF" w14:textId="77777777" w:rsidTr="0052533F">
        <w:trPr>
          <w:trHeight w:val="179"/>
        </w:trPr>
        <w:tc>
          <w:tcPr>
            <w:tcW w:w="4701" w:type="dxa"/>
            <w:vMerge w:val="restart"/>
            <w:tcBorders>
              <w:top w:val="single" w:sz="18" w:space="0" w:color="000000"/>
              <w:left w:val="nil"/>
              <w:bottom w:val="single" w:sz="18" w:space="0" w:color="000000"/>
              <w:right w:val="nil"/>
            </w:tcBorders>
            <w:shd w:val="clear" w:color="auto" w:fill="B470A3"/>
            <w:tcMar>
              <w:top w:w="72" w:type="dxa"/>
              <w:left w:w="177" w:type="dxa"/>
              <w:bottom w:w="72" w:type="dxa"/>
              <w:right w:w="177" w:type="dxa"/>
            </w:tcMar>
            <w:vAlign w:val="center"/>
            <w:hideMark/>
          </w:tcPr>
          <w:p w14:paraId="0C9E38A1" w14:textId="77777777" w:rsidR="0052533F" w:rsidRPr="00E93D7D" w:rsidRDefault="0052533F" w:rsidP="0052533F">
            <w:pPr>
              <w:spacing w:after="0" w:line="240" w:lineRule="atLeast"/>
              <w:rPr>
                <w:rFonts w:eastAsia="Times New Roman" w:cs="Arial"/>
              </w:rPr>
            </w:pPr>
            <w:r w:rsidRPr="00E93D7D">
              <w:rPr>
                <w:rFonts w:eastAsia="Times New Roman" w:cs="Arial"/>
                <w:b/>
                <w:bCs/>
                <w:color w:val="FFFFFF" w:themeColor="light1"/>
                <w:kern w:val="24"/>
              </w:rPr>
              <w:lastRenderedPageBreak/>
              <w:t>Item</w:t>
            </w:r>
          </w:p>
        </w:tc>
        <w:tc>
          <w:tcPr>
            <w:tcW w:w="4445" w:type="dxa"/>
            <w:gridSpan w:val="2"/>
            <w:tcBorders>
              <w:top w:val="single" w:sz="18" w:space="0" w:color="000000"/>
              <w:left w:val="nil"/>
              <w:bottom w:val="nil"/>
              <w:right w:val="nil"/>
            </w:tcBorders>
            <w:shd w:val="clear" w:color="auto" w:fill="B470A3"/>
            <w:tcMar>
              <w:top w:w="72" w:type="dxa"/>
              <w:left w:w="177" w:type="dxa"/>
              <w:bottom w:w="72" w:type="dxa"/>
              <w:right w:w="177" w:type="dxa"/>
            </w:tcMar>
            <w:vAlign w:val="center"/>
            <w:hideMark/>
          </w:tcPr>
          <w:p w14:paraId="2CEF1D48" w14:textId="77777777" w:rsidR="0052533F" w:rsidRPr="00E93D7D" w:rsidRDefault="0052533F" w:rsidP="0052533F">
            <w:pPr>
              <w:spacing w:after="0" w:line="240" w:lineRule="atLeast"/>
              <w:jc w:val="center"/>
              <w:rPr>
                <w:rFonts w:eastAsia="Times New Roman" w:cs="Arial"/>
              </w:rPr>
            </w:pPr>
            <w:r w:rsidRPr="00E93D7D">
              <w:rPr>
                <w:rFonts w:eastAsia="Times New Roman" w:cs="Arial"/>
                <w:b/>
                <w:bCs/>
                <w:color w:val="FFFFFF" w:themeColor="light1"/>
                <w:kern w:val="24"/>
              </w:rPr>
              <w:t>Risk Retained by Agency under P3</w:t>
            </w:r>
          </w:p>
        </w:tc>
      </w:tr>
      <w:tr w:rsidR="0052533F" w:rsidRPr="0052533F" w14:paraId="33EE3CE7" w14:textId="77777777" w:rsidTr="00454185">
        <w:trPr>
          <w:trHeight w:val="144"/>
        </w:trPr>
        <w:tc>
          <w:tcPr>
            <w:tcW w:w="0" w:type="auto"/>
            <w:vMerge/>
            <w:tcBorders>
              <w:top w:val="single" w:sz="18" w:space="0" w:color="000000"/>
              <w:left w:val="nil"/>
              <w:bottom w:val="single" w:sz="18" w:space="0" w:color="000000"/>
              <w:right w:val="nil"/>
            </w:tcBorders>
            <w:vAlign w:val="center"/>
            <w:hideMark/>
          </w:tcPr>
          <w:p w14:paraId="63735A3C" w14:textId="77777777" w:rsidR="0052533F" w:rsidRPr="00E93D7D" w:rsidRDefault="0052533F" w:rsidP="0052533F">
            <w:pPr>
              <w:spacing w:after="0" w:line="240" w:lineRule="auto"/>
              <w:rPr>
                <w:rFonts w:eastAsia="Times New Roman" w:cs="Arial"/>
              </w:rPr>
            </w:pPr>
          </w:p>
        </w:tc>
        <w:tc>
          <w:tcPr>
            <w:tcW w:w="2051" w:type="dxa"/>
            <w:tcBorders>
              <w:top w:val="nil"/>
              <w:left w:val="nil"/>
              <w:bottom w:val="single" w:sz="18" w:space="0" w:color="000000"/>
              <w:right w:val="nil"/>
            </w:tcBorders>
            <w:shd w:val="clear" w:color="auto" w:fill="B470A3"/>
            <w:tcMar>
              <w:top w:w="72" w:type="dxa"/>
              <w:left w:w="177" w:type="dxa"/>
              <w:bottom w:w="72" w:type="dxa"/>
              <w:right w:w="177" w:type="dxa"/>
            </w:tcMar>
            <w:vAlign w:val="center"/>
            <w:hideMark/>
          </w:tcPr>
          <w:p w14:paraId="5B59A7C1" w14:textId="77777777" w:rsidR="0052533F" w:rsidRPr="00E93D7D" w:rsidRDefault="0052533F" w:rsidP="0052533F">
            <w:pPr>
              <w:spacing w:after="0" w:line="192" w:lineRule="atLeast"/>
              <w:jc w:val="center"/>
              <w:rPr>
                <w:rFonts w:eastAsia="Times New Roman" w:cs="Arial"/>
              </w:rPr>
            </w:pPr>
            <w:r w:rsidRPr="00E93D7D">
              <w:rPr>
                <w:rFonts w:eastAsia="Times New Roman" w:cs="Arial"/>
                <w:b/>
                <w:bCs/>
                <w:color w:val="FFFFFF" w:themeColor="background1"/>
                <w:kern w:val="24"/>
              </w:rPr>
              <w:t>NPV risk values</w:t>
            </w:r>
            <w:r w:rsidRPr="00E93D7D">
              <w:rPr>
                <w:rFonts w:eastAsia="Times New Roman" w:cs="Arial"/>
                <w:b/>
                <w:bCs/>
                <w:color w:val="FFFFFF" w:themeColor="background1"/>
                <w:kern w:val="24"/>
              </w:rPr>
              <w:br/>
              <w:t>($M, Column J)</w:t>
            </w:r>
          </w:p>
        </w:tc>
        <w:tc>
          <w:tcPr>
            <w:tcW w:w="2394" w:type="dxa"/>
            <w:tcBorders>
              <w:top w:val="nil"/>
              <w:left w:val="nil"/>
              <w:bottom w:val="single" w:sz="18" w:space="0" w:color="000000"/>
              <w:right w:val="nil"/>
            </w:tcBorders>
            <w:shd w:val="clear" w:color="auto" w:fill="B470A3"/>
            <w:tcMar>
              <w:top w:w="72" w:type="dxa"/>
              <w:left w:w="177" w:type="dxa"/>
              <w:bottom w:w="72" w:type="dxa"/>
              <w:right w:w="177" w:type="dxa"/>
            </w:tcMar>
            <w:vAlign w:val="center"/>
            <w:hideMark/>
          </w:tcPr>
          <w:p w14:paraId="19858FE6" w14:textId="77777777" w:rsidR="0052533F" w:rsidRPr="00E93D7D" w:rsidRDefault="0052533F" w:rsidP="0052533F">
            <w:pPr>
              <w:spacing w:after="0" w:line="192" w:lineRule="atLeast"/>
              <w:jc w:val="center"/>
              <w:rPr>
                <w:rFonts w:eastAsia="Times New Roman" w:cs="Arial"/>
              </w:rPr>
            </w:pPr>
            <w:r w:rsidRPr="00E93D7D">
              <w:rPr>
                <w:rFonts w:eastAsia="Times New Roman" w:cs="Arial"/>
                <w:b/>
                <w:bCs/>
                <w:color w:val="FFFFFF" w:themeColor="background1"/>
                <w:kern w:val="24"/>
              </w:rPr>
              <w:t>Nominal risk values</w:t>
            </w:r>
            <w:r w:rsidRPr="00E93D7D">
              <w:rPr>
                <w:rFonts w:eastAsia="Times New Roman" w:cs="Arial"/>
                <w:b/>
                <w:bCs/>
                <w:color w:val="FFFFFF" w:themeColor="background1"/>
                <w:kern w:val="24"/>
              </w:rPr>
              <w:br/>
              <w:t>($M, Column K)</w:t>
            </w:r>
          </w:p>
        </w:tc>
      </w:tr>
      <w:tr w:rsidR="0052533F" w:rsidRPr="0052533F" w14:paraId="03AAA742" w14:textId="77777777" w:rsidTr="00454185">
        <w:trPr>
          <w:trHeight w:val="169"/>
        </w:trPr>
        <w:tc>
          <w:tcPr>
            <w:tcW w:w="4701" w:type="dxa"/>
            <w:tcBorders>
              <w:top w:val="single" w:sz="18" w:space="0" w:color="000000"/>
              <w:left w:val="nil"/>
              <w:bottom w:val="nil"/>
              <w:right w:val="nil"/>
            </w:tcBorders>
            <w:shd w:val="clear" w:color="auto" w:fill="auto"/>
            <w:tcMar>
              <w:top w:w="72" w:type="dxa"/>
              <w:left w:w="144" w:type="dxa"/>
              <w:bottom w:w="72" w:type="dxa"/>
              <w:right w:w="144" w:type="dxa"/>
            </w:tcMar>
            <w:vAlign w:val="center"/>
            <w:hideMark/>
          </w:tcPr>
          <w:p w14:paraId="55A3354B" w14:textId="77777777" w:rsidR="0052533F" w:rsidRPr="00E93D7D" w:rsidRDefault="0052533F" w:rsidP="0052533F">
            <w:pPr>
              <w:spacing w:after="0" w:line="226" w:lineRule="atLeast"/>
              <w:rPr>
                <w:rFonts w:eastAsia="Times New Roman" w:cs="Arial"/>
              </w:rPr>
            </w:pPr>
            <w:r w:rsidRPr="00E93D7D">
              <w:rPr>
                <w:rFonts w:eastAsia="Times New Roman" w:cs="Arial"/>
                <w:color w:val="000000" w:themeColor="dark1"/>
                <w:kern w:val="24"/>
              </w:rPr>
              <w:t>Pure risks (row 28)</w:t>
            </w:r>
          </w:p>
        </w:tc>
        <w:tc>
          <w:tcPr>
            <w:tcW w:w="2051" w:type="dxa"/>
            <w:tcBorders>
              <w:top w:val="single" w:sz="18" w:space="0" w:color="000000"/>
              <w:left w:val="nil"/>
              <w:bottom w:val="nil"/>
              <w:right w:val="nil"/>
            </w:tcBorders>
            <w:shd w:val="clear" w:color="auto" w:fill="auto"/>
            <w:tcMar>
              <w:top w:w="20" w:type="dxa"/>
              <w:left w:w="20" w:type="dxa"/>
              <w:bottom w:w="0" w:type="dxa"/>
              <w:right w:w="20" w:type="dxa"/>
            </w:tcMar>
            <w:vAlign w:val="center"/>
            <w:hideMark/>
          </w:tcPr>
          <w:p w14:paraId="7140741B" w14:textId="29FA1187" w:rsidR="0052533F" w:rsidRPr="002F4CB8" w:rsidRDefault="00787898" w:rsidP="003769D0">
            <w:pPr>
              <w:spacing w:after="0" w:line="240" w:lineRule="auto"/>
              <w:jc w:val="center"/>
              <w:rPr>
                <w:rFonts w:eastAsia="Times New Roman" w:cs="Arial"/>
                <w:b/>
                <w:color w:val="FF0000"/>
              </w:rPr>
            </w:pPr>
            <w:r w:rsidRPr="002F4CB8">
              <w:rPr>
                <w:rFonts w:eastAsia="Times New Roman" w:cs="Arial"/>
                <w:b/>
                <w:color w:val="FF0000"/>
              </w:rPr>
              <w:t>6</w:t>
            </w:r>
          </w:p>
        </w:tc>
        <w:tc>
          <w:tcPr>
            <w:tcW w:w="2394" w:type="dxa"/>
            <w:tcBorders>
              <w:top w:val="single" w:sz="18" w:space="0" w:color="000000"/>
              <w:left w:val="nil"/>
              <w:bottom w:val="nil"/>
              <w:right w:val="nil"/>
            </w:tcBorders>
            <w:shd w:val="clear" w:color="auto" w:fill="auto"/>
            <w:tcMar>
              <w:top w:w="20" w:type="dxa"/>
              <w:left w:w="20" w:type="dxa"/>
              <w:bottom w:w="0" w:type="dxa"/>
              <w:right w:w="20" w:type="dxa"/>
            </w:tcMar>
            <w:vAlign w:val="center"/>
            <w:hideMark/>
          </w:tcPr>
          <w:p w14:paraId="50B3254C" w14:textId="797F2568" w:rsidR="0052533F" w:rsidRPr="002F4CB8" w:rsidRDefault="00787898" w:rsidP="003769D0">
            <w:pPr>
              <w:spacing w:after="0" w:line="240" w:lineRule="auto"/>
              <w:jc w:val="center"/>
              <w:rPr>
                <w:rFonts w:eastAsia="Times New Roman" w:cs="Arial"/>
                <w:b/>
                <w:color w:val="FF0000"/>
              </w:rPr>
            </w:pPr>
            <w:r w:rsidRPr="002F4CB8">
              <w:rPr>
                <w:rFonts w:eastAsia="Times New Roman" w:cs="Arial"/>
                <w:b/>
                <w:color w:val="FF0000"/>
              </w:rPr>
              <w:t>11</w:t>
            </w:r>
          </w:p>
        </w:tc>
      </w:tr>
      <w:tr w:rsidR="0052533F" w:rsidRPr="0052533F" w14:paraId="1E6C3C2A" w14:textId="77777777" w:rsidTr="00454185">
        <w:trPr>
          <w:trHeight w:val="160"/>
        </w:trPr>
        <w:tc>
          <w:tcPr>
            <w:tcW w:w="4701" w:type="dxa"/>
            <w:tcBorders>
              <w:top w:val="nil"/>
              <w:left w:val="nil"/>
              <w:bottom w:val="nil"/>
              <w:right w:val="nil"/>
            </w:tcBorders>
            <w:shd w:val="clear" w:color="auto" w:fill="E7E7E7"/>
            <w:tcMar>
              <w:top w:w="72" w:type="dxa"/>
              <w:left w:w="144" w:type="dxa"/>
              <w:bottom w:w="72" w:type="dxa"/>
              <w:right w:w="144" w:type="dxa"/>
            </w:tcMar>
            <w:vAlign w:val="center"/>
            <w:hideMark/>
          </w:tcPr>
          <w:p w14:paraId="44DF4FDD" w14:textId="77777777" w:rsidR="0052533F" w:rsidRPr="00E93D7D" w:rsidRDefault="0052533F" w:rsidP="0052533F">
            <w:pPr>
              <w:spacing w:after="0" w:line="214" w:lineRule="atLeast"/>
              <w:rPr>
                <w:rFonts w:eastAsia="Times New Roman" w:cs="Arial"/>
              </w:rPr>
            </w:pPr>
            <w:r w:rsidRPr="00E93D7D">
              <w:rPr>
                <w:rFonts w:eastAsia="Times New Roman" w:cs="Arial"/>
                <w:color w:val="000000" w:themeColor="dark1"/>
                <w:kern w:val="24"/>
              </w:rPr>
              <w:t>Base variability (row 34)</w:t>
            </w:r>
          </w:p>
        </w:tc>
        <w:tc>
          <w:tcPr>
            <w:tcW w:w="2051" w:type="dxa"/>
            <w:tcBorders>
              <w:top w:val="nil"/>
              <w:left w:val="nil"/>
              <w:bottom w:val="nil"/>
              <w:right w:val="nil"/>
            </w:tcBorders>
            <w:shd w:val="clear" w:color="auto" w:fill="E7E7E7"/>
            <w:tcMar>
              <w:top w:w="20" w:type="dxa"/>
              <w:left w:w="20" w:type="dxa"/>
              <w:bottom w:w="0" w:type="dxa"/>
              <w:right w:w="20" w:type="dxa"/>
            </w:tcMar>
            <w:vAlign w:val="center"/>
            <w:hideMark/>
          </w:tcPr>
          <w:p w14:paraId="4607B6AA" w14:textId="1DCAFDEB" w:rsidR="0052533F" w:rsidRPr="002F4CB8" w:rsidRDefault="00787898" w:rsidP="003769D0">
            <w:pPr>
              <w:spacing w:after="0" w:line="240" w:lineRule="auto"/>
              <w:jc w:val="center"/>
              <w:rPr>
                <w:rFonts w:eastAsia="Times New Roman" w:cs="Arial"/>
                <w:b/>
                <w:color w:val="FF0000"/>
              </w:rPr>
            </w:pPr>
            <w:r w:rsidRPr="002F4CB8">
              <w:rPr>
                <w:rFonts w:eastAsia="Times New Roman" w:cs="Arial"/>
                <w:b/>
                <w:color w:val="FF0000"/>
              </w:rPr>
              <w:t>7</w:t>
            </w:r>
          </w:p>
        </w:tc>
        <w:tc>
          <w:tcPr>
            <w:tcW w:w="2394" w:type="dxa"/>
            <w:tcBorders>
              <w:top w:val="nil"/>
              <w:left w:val="nil"/>
              <w:bottom w:val="nil"/>
              <w:right w:val="nil"/>
            </w:tcBorders>
            <w:shd w:val="clear" w:color="auto" w:fill="E7E7E7"/>
            <w:tcMar>
              <w:top w:w="20" w:type="dxa"/>
              <w:left w:w="20" w:type="dxa"/>
              <w:bottom w:w="0" w:type="dxa"/>
              <w:right w:w="20" w:type="dxa"/>
            </w:tcMar>
            <w:vAlign w:val="center"/>
            <w:hideMark/>
          </w:tcPr>
          <w:p w14:paraId="30F76862" w14:textId="0F7BF305" w:rsidR="0052533F" w:rsidRPr="002F4CB8" w:rsidRDefault="00787898" w:rsidP="003769D0">
            <w:pPr>
              <w:spacing w:after="0" w:line="240" w:lineRule="auto"/>
              <w:jc w:val="center"/>
              <w:rPr>
                <w:rFonts w:eastAsia="Times New Roman" w:cs="Arial"/>
                <w:b/>
                <w:color w:val="FF0000"/>
              </w:rPr>
            </w:pPr>
            <w:r w:rsidRPr="002F4CB8">
              <w:rPr>
                <w:rFonts w:eastAsia="Times New Roman" w:cs="Arial"/>
                <w:b/>
                <w:color w:val="FF0000"/>
              </w:rPr>
              <w:t>10</w:t>
            </w:r>
          </w:p>
        </w:tc>
      </w:tr>
      <w:tr w:rsidR="0052533F" w:rsidRPr="0052533F" w14:paraId="2FB85629" w14:textId="77777777" w:rsidTr="00454185">
        <w:trPr>
          <w:trHeight w:val="213"/>
        </w:trPr>
        <w:tc>
          <w:tcPr>
            <w:tcW w:w="4701" w:type="dxa"/>
            <w:tcBorders>
              <w:top w:val="nil"/>
              <w:left w:val="nil"/>
              <w:bottom w:val="nil"/>
              <w:right w:val="nil"/>
            </w:tcBorders>
            <w:shd w:val="clear" w:color="auto" w:fill="auto"/>
            <w:tcMar>
              <w:top w:w="72" w:type="dxa"/>
              <w:left w:w="144" w:type="dxa"/>
              <w:bottom w:w="72" w:type="dxa"/>
              <w:right w:w="144" w:type="dxa"/>
            </w:tcMar>
            <w:vAlign w:val="center"/>
            <w:hideMark/>
          </w:tcPr>
          <w:p w14:paraId="394CD274" w14:textId="77777777" w:rsidR="0052533F" w:rsidRPr="00E93D7D" w:rsidRDefault="0052533F" w:rsidP="0052533F">
            <w:pPr>
              <w:spacing w:after="0" w:line="216" w:lineRule="auto"/>
              <w:rPr>
                <w:rFonts w:eastAsia="Times New Roman" w:cs="Arial"/>
              </w:rPr>
            </w:pPr>
            <w:r w:rsidRPr="00E93D7D">
              <w:rPr>
                <w:rFonts w:eastAsia="Times New Roman" w:cs="Arial"/>
                <w:color w:val="000000" w:themeColor="dark1"/>
                <w:kern w:val="24"/>
              </w:rPr>
              <w:t>Lifecycle performance risk premium (row 36)</w:t>
            </w:r>
          </w:p>
        </w:tc>
        <w:tc>
          <w:tcPr>
            <w:tcW w:w="2051" w:type="dxa"/>
            <w:tcBorders>
              <w:top w:val="nil"/>
              <w:left w:val="nil"/>
              <w:bottom w:val="nil"/>
              <w:right w:val="nil"/>
            </w:tcBorders>
            <w:shd w:val="clear" w:color="auto" w:fill="auto"/>
            <w:tcMar>
              <w:top w:w="20" w:type="dxa"/>
              <w:left w:w="20" w:type="dxa"/>
              <w:bottom w:w="0" w:type="dxa"/>
              <w:right w:w="20" w:type="dxa"/>
            </w:tcMar>
            <w:vAlign w:val="center"/>
            <w:hideMark/>
          </w:tcPr>
          <w:p w14:paraId="533272A6" w14:textId="2A1083CC" w:rsidR="0052533F" w:rsidRPr="002F4CB8" w:rsidRDefault="00787898" w:rsidP="003769D0">
            <w:pPr>
              <w:spacing w:after="0" w:line="240" w:lineRule="auto"/>
              <w:jc w:val="center"/>
              <w:rPr>
                <w:rFonts w:eastAsia="Times New Roman" w:cs="Arial"/>
                <w:b/>
                <w:color w:val="FF0000"/>
              </w:rPr>
            </w:pPr>
            <w:r w:rsidRPr="002F4CB8">
              <w:rPr>
                <w:rFonts w:eastAsia="Times New Roman" w:cs="Arial"/>
                <w:b/>
                <w:color w:val="FF0000"/>
              </w:rPr>
              <w:t>-</w:t>
            </w:r>
          </w:p>
        </w:tc>
        <w:tc>
          <w:tcPr>
            <w:tcW w:w="2394" w:type="dxa"/>
            <w:tcBorders>
              <w:top w:val="nil"/>
              <w:left w:val="nil"/>
              <w:bottom w:val="nil"/>
              <w:right w:val="nil"/>
            </w:tcBorders>
            <w:shd w:val="clear" w:color="auto" w:fill="auto"/>
            <w:tcMar>
              <w:top w:w="20" w:type="dxa"/>
              <w:left w:w="20" w:type="dxa"/>
              <w:bottom w:w="0" w:type="dxa"/>
              <w:right w:w="20" w:type="dxa"/>
            </w:tcMar>
            <w:vAlign w:val="center"/>
            <w:hideMark/>
          </w:tcPr>
          <w:p w14:paraId="51652139" w14:textId="488048B1" w:rsidR="0052533F" w:rsidRPr="002F4CB8" w:rsidRDefault="00787898" w:rsidP="003769D0">
            <w:pPr>
              <w:spacing w:after="0" w:line="240" w:lineRule="auto"/>
              <w:jc w:val="center"/>
              <w:rPr>
                <w:rFonts w:eastAsia="Times New Roman" w:cs="Arial"/>
                <w:b/>
                <w:color w:val="FF0000"/>
              </w:rPr>
            </w:pPr>
            <w:r w:rsidRPr="002F4CB8">
              <w:rPr>
                <w:rFonts w:eastAsia="Times New Roman" w:cs="Arial"/>
                <w:b/>
                <w:color w:val="FF0000"/>
              </w:rPr>
              <w:t>-</w:t>
            </w:r>
          </w:p>
        </w:tc>
      </w:tr>
      <w:tr w:rsidR="0052533F" w:rsidRPr="0052533F" w14:paraId="6D1B65E8" w14:textId="77777777" w:rsidTr="00454185">
        <w:trPr>
          <w:trHeight w:val="191"/>
        </w:trPr>
        <w:tc>
          <w:tcPr>
            <w:tcW w:w="4701" w:type="dxa"/>
            <w:tcBorders>
              <w:top w:val="nil"/>
              <w:left w:val="nil"/>
              <w:bottom w:val="double" w:sz="12" w:space="0" w:color="000000"/>
              <w:right w:val="nil"/>
            </w:tcBorders>
            <w:shd w:val="clear" w:color="auto" w:fill="E7E7E7"/>
            <w:tcMar>
              <w:top w:w="72" w:type="dxa"/>
              <w:left w:w="144" w:type="dxa"/>
              <w:bottom w:w="72" w:type="dxa"/>
              <w:right w:w="144" w:type="dxa"/>
            </w:tcMar>
            <w:vAlign w:val="center"/>
            <w:hideMark/>
          </w:tcPr>
          <w:p w14:paraId="4DCE1D30" w14:textId="77777777" w:rsidR="0052533F" w:rsidRPr="00E93D7D" w:rsidRDefault="0052533F" w:rsidP="0052533F">
            <w:pPr>
              <w:spacing w:after="0" w:line="216" w:lineRule="auto"/>
              <w:rPr>
                <w:rFonts w:eastAsia="Times New Roman" w:cs="Arial"/>
              </w:rPr>
            </w:pPr>
            <w:r w:rsidRPr="00E93D7D">
              <w:rPr>
                <w:rFonts w:eastAsia="Times New Roman" w:cs="Arial"/>
                <w:color w:val="000000" w:themeColor="dark1"/>
                <w:kern w:val="24"/>
              </w:rPr>
              <w:t>Revenue uncertainty adjustment (row 38)</w:t>
            </w:r>
          </w:p>
        </w:tc>
        <w:tc>
          <w:tcPr>
            <w:tcW w:w="2051" w:type="dxa"/>
            <w:tcBorders>
              <w:top w:val="nil"/>
              <w:left w:val="nil"/>
              <w:bottom w:val="double" w:sz="12" w:space="0" w:color="000000"/>
              <w:right w:val="nil"/>
            </w:tcBorders>
            <w:shd w:val="clear" w:color="auto" w:fill="E7E7E7"/>
            <w:tcMar>
              <w:top w:w="20" w:type="dxa"/>
              <w:left w:w="20" w:type="dxa"/>
              <w:bottom w:w="0" w:type="dxa"/>
              <w:right w:w="20" w:type="dxa"/>
            </w:tcMar>
            <w:vAlign w:val="center"/>
            <w:hideMark/>
          </w:tcPr>
          <w:p w14:paraId="7742A069" w14:textId="04F73B31" w:rsidR="0052533F" w:rsidRPr="002F4CB8" w:rsidRDefault="00787898" w:rsidP="003769D0">
            <w:pPr>
              <w:spacing w:after="0" w:line="240" w:lineRule="auto"/>
              <w:jc w:val="center"/>
              <w:rPr>
                <w:rFonts w:eastAsia="Times New Roman" w:cs="Arial"/>
                <w:b/>
                <w:color w:val="FF0000"/>
              </w:rPr>
            </w:pPr>
            <w:r w:rsidRPr="002F4CB8">
              <w:rPr>
                <w:rFonts w:eastAsia="Times New Roman" w:cs="Arial"/>
                <w:b/>
                <w:color w:val="FF0000"/>
              </w:rPr>
              <w:t>-</w:t>
            </w:r>
          </w:p>
        </w:tc>
        <w:tc>
          <w:tcPr>
            <w:tcW w:w="2394" w:type="dxa"/>
            <w:tcBorders>
              <w:top w:val="nil"/>
              <w:left w:val="nil"/>
              <w:bottom w:val="double" w:sz="12" w:space="0" w:color="000000"/>
              <w:right w:val="nil"/>
            </w:tcBorders>
            <w:shd w:val="clear" w:color="auto" w:fill="E7E7E7"/>
            <w:tcMar>
              <w:top w:w="20" w:type="dxa"/>
              <w:left w:w="20" w:type="dxa"/>
              <w:bottom w:w="0" w:type="dxa"/>
              <w:right w:w="20" w:type="dxa"/>
            </w:tcMar>
            <w:vAlign w:val="center"/>
            <w:hideMark/>
          </w:tcPr>
          <w:p w14:paraId="5210E483" w14:textId="1BA68B5D" w:rsidR="0052533F" w:rsidRPr="002F4CB8" w:rsidRDefault="00787898" w:rsidP="003769D0">
            <w:pPr>
              <w:spacing w:after="0" w:line="240" w:lineRule="auto"/>
              <w:jc w:val="center"/>
              <w:rPr>
                <w:rFonts w:eastAsia="Times New Roman" w:cs="Arial"/>
                <w:b/>
                <w:color w:val="FF0000"/>
              </w:rPr>
            </w:pPr>
            <w:r w:rsidRPr="002F4CB8">
              <w:rPr>
                <w:rFonts w:eastAsia="Times New Roman" w:cs="Arial"/>
                <w:b/>
                <w:color w:val="FF0000"/>
              </w:rPr>
              <w:t>-</w:t>
            </w:r>
          </w:p>
        </w:tc>
      </w:tr>
      <w:tr w:rsidR="0052533F" w:rsidRPr="0052533F" w14:paraId="69D1CC33" w14:textId="77777777" w:rsidTr="00454185">
        <w:trPr>
          <w:trHeight w:val="168"/>
        </w:trPr>
        <w:tc>
          <w:tcPr>
            <w:tcW w:w="4701" w:type="dxa"/>
            <w:tcBorders>
              <w:top w:val="double" w:sz="12" w:space="0" w:color="000000"/>
              <w:left w:val="nil"/>
              <w:bottom w:val="single" w:sz="18" w:space="0" w:color="000000"/>
              <w:right w:val="nil"/>
            </w:tcBorders>
            <w:shd w:val="clear" w:color="auto" w:fill="auto"/>
            <w:tcMar>
              <w:top w:w="72" w:type="dxa"/>
              <w:left w:w="144" w:type="dxa"/>
              <w:bottom w:w="72" w:type="dxa"/>
              <w:right w:w="144" w:type="dxa"/>
            </w:tcMar>
            <w:vAlign w:val="center"/>
            <w:hideMark/>
          </w:tcPr>
          <w:p w14:paraId="4F2159D6" w14:textId="155D62A2" w:rsidR="0052533F" w:rsidRPr="00E93D7D" w:rsidRDefault="0052533F" w:rsidP="0052533F">
            <w:pPr>
              <w:spacing w:after="0" w:line="224" w:lineRule="atLeast"/>
              <w:rPr>
                <w:rFonts w:eastAsia="Times New Roman" w:cs="Arial"/>
              </w:rPr>
            </w:pPr>
            <w:r w:rsidRPr="00E93D7D">
              <w:rPr>
                <w:rFonts w:eastAsia="Times New Roman" w:cs="Arial"/>
                <w:b/>
                <w:bCs/>
                <w:color w:val="000000" w:themeColor="dark1"/>
                <w:kern w:val="24"/>
              </w:rPr>
              <w:t>Total risks retained under P3</w:t>
            </w:r>
            <w:r w:rsidR="00787898">
              <w:rPr>
                <w:rFonts w:eastAsia="Times New Roman" w:cs="Arial"/>
                <w:b/>
                <w:bCs/>
                <w:color w:val="000000" w:themeColor="dark1"/>
                <w:kern w:val="24"/>
              </w:rPr>
              <w:t xml:space="preserve"> (row 45)</w:t>
            </w:r>
          </w:p>
        </w:tc>
        <w:tc>
          <w:tcPr>
            <w:tcW w:w="2051" w:type="dxa"/>
            <w:tcBorders>
              <w:top w:val="double" w:sz="12" w:space="0" w:color="000000"/>
              <w:left w:val="nil"/>
              <w:bottom w:val="single" w:sz="18" w:space="0" w:color="000000"/>
              <w:right w:val="nil"/>
            </w:tcBorders>
            <w:shd w:val="clear" w:color="auto" w:fill="auto"/>
            <w:tcMar>
              <w:top w:w="20" w:type="dxa"/>
              <w:left w:w="20" w:type="dxa"/>
              <w:bottom w:w="0" w:type="dxa"/>
              <w:right w:w="20" w:type="dxa"/>
            </w:tcMar>
            <w:vAlign w:val="center"/>
            <w:hideMark/>
          </w:tcPr>
          <w:p w14:paraId="4D803771" w14:textId="569CE37A" w:rsidR="0052533F" w:rsidRPr="002F4CB8" w:rsidRDefault="00787898" w:rsidP="003769D0">
            <w:pPr>
              <w:spacing w:after="0" w:line="240" w:lineRule="auto"/>
              <w:jc w:val="center"/>
              <w:rPr>
                <w:rFonts w:eastAsia="Times New Roman" w:cs="Arial"/>
                <w:b/>
                <w:color w:val="FF0000"/>
              </w:rPr>
            </w:pPr>
            <w:r w:rsidRPr="002F4CB8">
              <w:rPr>
                <w:rFonts w:eastAsia="Times New Roman" w:cs="Arial"/>
                <w:b/>
                <w:color w:val="FF0000"/>
              </w:rPr>
              <w:t>13</w:t>
            </w:r>
          </w:p>
        </w:tc>
        <w:tc>
          <w:tcPr>
            <w:tcW w:w="2394" w:type="dxa"/>
            <w:tcBorders>
              <w:top w:val="double" w:sz="12" w:space="0" w:color="000000"/>
              <w:left w:val="nil"/>
              <w:bottom w:val="single" w:sz="18" w:space="0" w:color="000000"/>
              <w:right w:val="nil"/>
            </w:tcBorders>
            <w:shd w:val="clear" w:color="auto" w:fill="auto"/>
            <w:tcMar>
              <w:top w:w="20" w:type="dxa"/>
              <w:left w:w="20" w:type="dxa"/>
              <w:bottom w:w="0" w:type="dxa"/>
              <w:right w:w="20" w:type="dxa"/>
            </w:tcMar>
            <w:vAlign w:val="center"/>
            <w:hideMark/>
          </w:tcPr>
          <w:p w14:paraId="4ADBB594" w14:textId="5BCFAC44" w:rsidR="0052533F" w:rsidRPr="002F4CB8" w:rsidRDefault="00787898" w:rsidP="003769D0">
            <w:pPr>
              <w:spacing w:after="0" w:line="240" w:lineRule="auto"/>
              <w:jc w:val="center"/>
              <w:rPr>
                <w:rFonts w:eastAsia="Times New Roman" w:cs="Arial"/>
                <w:b/>
                <w:color w:val="FF0000"/>
              </w:rPr>
            </w:pPr>
            <w:r w:rsidRPr="002F4CB8">
              <w:rPr>
                <w:rFonts w:eastAsia="Times New Roman" w:cs="Arial"/>
                <w:b/>
                <w:color w:val="FF0000"/>
              </w:rPr>
              <w:t>21</w:t>
            </w:r>
          </w:p>
        </w:tc>
      </w:tr>
    </w:tbl>
    <w:p w14:paraId="2166EB63" w14:textId="77777777" w:rsidR="0052533F" w:rsidRDefault="0052533F" w:rsidP="00961EAC">
      <w:pPr>
        <w:spacing w:after="0" w:line="240" w:lineRule="auto"/>
      </w:pPr>
    </w:p>
    <w:p w14:paraId="2006DAE9" w14:textId="77777777" w:rsidR="0052533F" w:rsidRDefault="0052533F" w:rsidP="0052533F">
      <w:pPr>
        <w:spacing w:after="0" w:line="240" w:lineRule="auto"/>
        <w:rPr>
          <w:iCs/>
        </w:rPr>
      </w:pPr>
      <w:r w:rsidRPr="0052533F">
        <w:rPr>
          <w:iCs/>
        </w:rPr>
        <w:t xml:space="preserve">Review and record below the transferred P3 risk values for VfM (see </w:t>
      </w:r>
      <w:r w:rsidRPr="00E93D7D">
        <w:rPr>
          <w:b/>
          <w:bCs/>
          <w:i/>
          <w:iCs/>
        </w:rPr>
        <w:t>Risk Output for VfM</w:t>
      </w:r>
      <w:r w:rsidRPr="0052533F">
        <w:rPr>
          <w:b/>
          <w:bCs/>
          <w:iCs/>
        </w:rPr>
        <w:t xml:space="preserve"> </w:t>
      </w:r>
      <w:r w:rsidRPr="0052533F">
        <w:rPr>
          <w:iCs/>
        </w:rPr>
        <w:t>sheet).</w:t>
      </w:r>
    </w:p>
    <w:p w14:paraId="39386165" w14:textId="77777777" w:rsidR="0052533F" w:rsidRPr="0052533F" w:rsidRDefault="0052533F" w:rsidP="0052533F">
      <w:pPr>
        <w:spacing w:after="0" w:line="240" w:lineRule="auto"/>
      </w:pPr>
    </w:p>
    <w:tbl>
      <w:tblPr>
        <w:tblW w:w="9296" w:type="dxa"/>
        <w:tblCellMar>
          <w:left w:w="0" w:type="dxa"/>
          <w:right w:w="0" w:type="dxa"/>
        </w:tblCellMar>
        <w:tblLook w:val="0460" w:firstRow="1" w:lastRow="1" w:firstColumn="0" w:lastColumn="0" w:noHBand="0" w:noVBand="1"/>
      </w:tblPr>
      <w:tblGrid>
        <w:gridCol w:w="4778"/>
        <w:gridCol w:w="2085"/>
        <w:gridCol w:w="2433"/>
      </w:tblGrid>
      <w:tr w:rsidR="0052533F" w:rsidRPr="0052533F" w14:paraId="7E15D091" w14:textId="77777777" w:rsidTr="00D1151A">
        <w:trPr>
          <w:trHeight w:val="198"/>
        </w:trPr>
        <w:tc>
          <w:tcPr>
            <w:tcW w:w="4778" w:type="dxa"/>
            <w:vMerge w:val="restart"/>
            <w:tcBorders>
              <w:top w:val="single" w:sz="18" w:space="0" w:color="000000"/>
              <w:left w:val="nil"/>
              <w:bottom w:val="single" w:sz="18" w:space="0" w:color="000000"/>
              <w:right w:val="nil"/>
            </w:tcBorders>
            <w:shd w:val="clear" w:color="auto" w:fill="B470A3"/>
            <w:tcMar>
              <w:top w:w="72" w:type="dxa"/>
              <w:left w:w="177" w:type="dxa"/>
              <w:bottom w:w="72" w:type="dxa"/>
              <w:right w:w="177" w:type="dxa"/>
            </w:tcMar>
            <w:vAlign w:val="center"/>
            <w:hideMark/>
          </w:tcPr>
          <w:p w14:paraId="0EF11C2E" w14:textId="77777777" w:rsidR="0052533F" w:rsidRPr="00E93D7D" w:rsidRDefault="0052533F" w:rsidP="0052533F">
            <w:pPr>
              <w:spacing w:after="0" w:line="240" w:lineRule="atLeast"/>
              <w:rPr>
                <w:rFonts w:eastAsia="Times New Roman" w:cs="Arial"/>
              </w:rPr>
            </w:pPr>
            <w:r w:rsidRPr="00E93D7D">
              <w:rPr>
                <w:rFonts w:eastAsia="Times New Roman" w:cs="Arial"/>
                <w:b/>
                <w:bCs/>
                <w:color w:val="FFFFFF" w:themeColor="light1"/>
                <w:kern w:val="24"/>
              </w:rPr>
              <w:t>Item</w:t>
            </w:r>
          </w:p>
        </w:tc>
        <w:tc>
          <w:tcPr>
            <w:tcW w:w="4518" w:type="dxa"/>
            <w:gridSpan w:val="2"/>
            <w:tcBorders>
              <w:top w:val="single" w:sz="18" w:space="0" w:color="000000"/>
              <w:left w:val="nil"/>
              <w:bottom w:val="nil"/>
              <w:right w:val="nil"/>
            </w:tcBorders>
            <w:shd w:val="clear" w:color="auto" w:fill="B470A3"/>
            <w:tcMar>
              <w:top w:w="72" w:type="dxa"/>
              <w:left w:w="177" w:type="dxa"/>
              <w:bottom w:w="72" w:type="dxa"/>
              <w:right w:w="177" w:type="dxa"/>
            </w:tcMar>
            <w:vAlign w:val="center"/>
            <w:hideMark/>
          </w:tcPr>
          <w:p w14:paraId="52D2DA84" w14:textId="77777777" w:rsidR="0052533F" w:rsidRPr="00E93D7D" w:rsidRDefault="0052533F" w:rsidP="0052533F">
            <w:pPr>
              <w:spacing w:after="0" w:line="240" w:lineRule="atLeast"/>
              <w:jc w:val="center"/>
              <w:rPr>
                <w:rFonts w:eastAsia="Times New Roman" w:cs="Arial"/>
              </w:rPr>
            </w:pPr>
            <w:r w:rsidRPr="00E93D7D">
              <w:rPr>
                <w:rFonts w:eastAsia="Times New Roman" w:cs="Arial"/>
                <w:b/>
                <w:bCs/>
                <w:color w:val="FFFFFF" w:themeColor="light1"/>
                <w:kern w:val="24"/>
              </w:rPr>
              <w:t>Risk Transferred to P3 Developer</w:t>
            </w:r>
          </w:p>
        </w:tc>
      </w:tr>
      <w:tr w:rsidR="0052533F" w:rsidRPr="0052533F" w14:paraId="107F2175" w14:textId="77777777" w:rsidTr="00D1151A">
        <w:trPr>
          <w:trHeight w:val="158"/>
        </w:trPr>
        <w:tc>
          <w:tcPr>
            <w:tcW w:w="0" w:type="auto"/>
            <w:vMerge/>
            <w:tcBorders>
              <w:top w:val="single" w:sz="18" w:space="0" w:color="000000"/>
              <w:left w:val="nil"/>
              <w:bottom w:val="single" w:sz="18" w:space="0" w:color="000000"/>
              <w:right w:val="nil"/>
            </w:tcBorders>
            <w:vAlign w:val="center"/>
            <w:hideMark/>
          </w:tcPr>
          <w:p w14:paraId="25EF49FB" w14:textId="77777777" w:rsidR="0052533F" w:rsidRPr="00E93D7D" w:rsidRDefault="0052533F" w:rsidP="0052533F">
            <w:pPr>
              <w:spacing w:after="0" w:line="240" w:lineRule="auto"/>
              <w:rPr>
                <w:rFonts w:eastAsia="Times New Roman" w:cs="Arial"/>
              </w:rPr>
            </w:pPr>
          </w:p>
        </w:tc>
        <w:tc>
          <w:tcPr>
            <w:tcW w:w="2085" w:type="dxa"/>
            <w:tcBorders>
              <w:top w:val="nil"/>
              <w:left w:val="nil"/>
              <w:bottom w:val="single" w:sz="18" w:space="0" w:color="000000"/>
              <w:right w:val="nil"/>
            </w:tcBorders>
            <w:shd w:val="clear" w:color="auto" w:fill="B470A3"/>
            <w:tcMar>
              <w:top w:w="72" w:type="dxa"/>
              <w:left w:w="177" w:type="dxa"/>
              <w:bottom w:w="72" w:type="dxa"/>
              <w:right w:w="177" w:type="dxa"/>
            </w:tcMar>
            <w:vAlign w:val="center"/>
            <w:hideMark/>
          </w:tcPr>
          <w:p w14:paraId="67F5ED09" w14:textId="77777777" w:rsidR="0052533F" w:rsidRPr="00E93D7D" w:rsidRDefault="0052533F" w:rsidP="0052533F">
            <w:pPr>
              <w:spacing w:after="0" w:line="192" w:lineRule="atLeast"/>
              <w:jc w:val="center"/>
              <w:rPr>
                <w:rFonts w:eastAsia="Times New Roman" w:cs="Arial"/>
              </w:rPr>
            </w:pPr>
            <w:r w:rsidRPr="00E93D7D">
              <w:rPr>
                <w:rFonts w:eastAsia="Times New Roman" w:cs="Arial"/>
                <w:b/>
                <w:bCs/>
                <w:color w:val="FFFFFF" w:themeColor="background1"/>
                <w:kern w:val="24"/>
              </w:rPr>
              <w:t>NPV risk values</w:t>
            </w:r>
            <w:r w:rsidRPr="00E93D7D">
              <w:rPr>
                <w:rFonts w:eastAsia="Times New Roman" w:cs="Arial"/>
                <w:b/>
                <w:bCs/>
                <w:color w:val="FFFFFF" w:themeColor="background1"/>
                <w:kern w:val="24"/>
              </w:rPr>
              <w:br/>
              <w:t>($M, Column M)</w:t>
            </w:r>
          </w:p>
        </w:tc>
        <w:tc>
          <w:tcPr>
            <w:tcW w:w="2433" w:type="dxa"/>
            <w:tcBorders>
              <w:top w:val="nil"/>
              <w:left w:val="nil"/>
              <w:bottom w:val="single" w:sz="18" w:space="0" w:color="000000"/>
              <w:right w:val="nil"/>
            </w:tcBorders>
            <w:shd w:val="clear" w:color="auto" w:fill="B470A3"/>
            <w:tcMar>
              <w:top w:w="72" w:type="dxa"/>
              <w:left w:w="177" w:type="dxa"/>
              <w:bottom w:w="72" w:type="dxa"/>
              <w:right w:w="177" w:type="dxa"/>
            </w:tcMar>
            <w:vAlign w:val="center"/>
            <w:hideMark/>
          </w:tcPr>
          <w:p w14:paraId="60935DB7" w14:textId="77777777" w:rsidR="0052533F" w:rsidRPr="00E93D7D" w:rsidRDefault="0052533F" w:rsidP="0052533F">
            <w:pPr>
              <w:spacing w:after="0" w:line="192" w:lineRule="atLeast"/>
              <w:jc w:val="center"/>
              <w:rPr>
                <w:rFonts w:eastAsia="Times New Roman" w:cs="Arial"/>
              </w:rPr>
            </w:pPr>
            <w:r w:rsidRPr="00E93D7D">
              <w:rPr>
                <w:rFonts w:eastAsia="Times New Roman" w:cs="Arial"/>
                <w:b/>
                <w:bCs/>
                <w:color w:val="FFFFFF" w:themeColor="background1"/>
                <w:kern w:val="24"/>
              </w:rPr>
              <w:t>Nominal risk values</w:t>
            </w:r>
            <w:r w:rsidRPr="00E93D7D">
              <w:rPr>
                <w:rFonts w:eastAsia="Times New Roman" w:cs="Arial"/>
                <w:b/>
                <w:bCs/>
                <w:color w:val="FFFFFF" w:themeColor="background1"/>
                <w:kern w:val="24"/>
              </w:rPr>
              <w:br/>
              <w:t>($M, Column N)</w:t>
            </w:r>
          </w:p>
        </w:tc>
      </w:tr>
      <w:tr w:rsidR="0052533F" w:rsidRPr="0052533F" w14:paraId="3E8845D0" w14:textId="77777777" w:rsidTr="00D1151A">
        <w:trPr>
          <w:trHeight w:val="186"/>
        </w:trPr>
        <w:tc>
          <w:tcPr>
            <w:tcW w:w="4778" w:type="dxa"/>
            <w:tcBorders>
              <w:top w:val="single" w:sz="18" w:space="0" w:color="000000"/>
              <w:left w:val="nil"/>
              <w:bottom w:val="nil"/>
              <w:right w:val="nil"/>
            </w:tcBorders>
            <w:shd w:val="clear" w:color="auto" w:fill="auto"/>
            <w:tcMar>
              <w:top w:w="72" w:type="dxa"/>
              <w:left w:w="144" w:type="dxa"/>
              <w:bottom w:w="72" w:type="dxa"/>
              <w:right w:w="144" w:type="dxa"/>
            </w:tcMar>
            <w:vAlign w:val="center"/>
            <w:hideMark/>
          </w:tcPr>
          <w:p w14:paraId="78332F29" w14:textId="77777777" w:rsidR="0052533F" w:rsidRPr="00E93D7D" w:rsidRDefault="0052533F" w:rsidP="0052533F">
            <w:pPr>
              <w:spacing w:after="0" w:line="226" w:lineRule="atLeast"/>
              <w:rPr>
                <w:rFonts w:eastAsia="Times New Roman" w:cs="Arial"/>
              </w:rPr>
            </w:pPr>
            <w:r w:rsidRPr="00E93D7D">
              <w:rPr>
                <w:rFonts w:eastAsia="Times New Roman" w:cs="Arial"/>
                <w:color w:val="000000" w:themeColor="dark1"/>
                <w:kern w:val="24"/>
              </w:rPr>
              <w:t>Pure risks (row 28)</w:t>
            </w:r>
          </w:p>
        </w:tc>
        <w:tc>
          <w:tcPr>
            <w:tcW w:w="2085" w:type="dxa"/>
            <w:tcBorders>
              <w:top w:val="single" w:sz="18" w:space="0" w:color="000000"/>
              <w:left w:val="nil"/>
              <w:bottom w:val="nil"/>
              <w:right w:val="nil"/>
            </w:tcBorders>
            <w:shd w:val="clear" w:color="auto" w:fill="auto"/>
            <w:tcMar>
              <w:top w:w="20" w:type="dxa"/>
              <w:left w:w="20" w:type="dxa"/>
              <w:bottom w:w="0" w:type="dxa"/>
              <w:right w:w="20" w:type="dxa"/>
            </w:tcMar>
            <w:vAlign w:val="center"/>
            <w:hideMark/>
          </w:tcPr>
          <w:p w14:paraId="5EA537CC" w14:textId="45D48D93" w:rsidR="0052533F" w:rsidRPr="002F4CB8" w:rsidRDefault="00787898" w:rsidP="003769D0">
            <w:pPr>
              <w:spacing w:after="0" w:line="240" w:lineRule="auto"/>
              <w:jc w:val="center"/>
              <w:rPr>
                <w:rFonts w:eastAsia="Times New Roman" w:cs="Arial"/>
                <w:b/>
                <w:color w:val="FF0000"/>
              </w:rPr>
            </w:pPr>
            <w:r w:rsidRPr="002F4CB8">
              <w:rPr>
                <w:rFonts w:eastAsia="Times New Roman" w:cs="Arial"/>
                <w:b/>
                <w:color w:val="FF0000"/>
              </w:rPr>
              <w:t>40</w:t>
            </w:r>
          </w:p>
        </w:tc>
        <w:tc>
          <w:tcPr>
            <w:tcW w:w="2433" w:type="dxa"/>
            <w:tcBorders>
              <w:top w:val="single" w:sz="18" w:space="0" w:color="000000"/>
              <w:left w:val="nil"/>
              <w:bottom w:val="nil"/>
              <w:right w:val="nil"/>
            </w:tcBorders>
            <w:shd w:val="clear" w:color="auto" w:fill="auto"/>
            <w:tcMar>
              <w:top w:w="20" w:type="dxa"/>
              <w:left w:w="20" w:type="dxa"/>
              <w:bottom w:w="0" w:type="dxa"/>
              <w:right w:w="20" w:type="dxa"/>
            </w:tcMar>
            <w:vAlign w:val="center"/>
            <w:hideMark/>
          </w:tcPr>
          <w:p w14:paraId="035A695A" w14:textId="06480E68" w:rsidR="0052533F" w:rsidRPr="002F4CB8" w:rsidRDefault="00787898" w:rsidP="003769D0">
            <w:pPr>
              <w:spacing w:after="0" w:line="240" w:lineRule="auto"/>
              <w:jc w:val="center"/>
              <w:rPr>
                <w:rFonts w:eastAsia="Times New Roman" w:cs="Arial"/>
                <w:b/>
                <w:color w:val="FF0000"/>
              </w:rPr>
            </w:pPr>
            <w:r w:rsidRPr="002F4CB8">
              <w:rPr>
                <w:rFonts w:eastAsia="Times New Roman" w:cs="Arial"/>
                <w:b/>
                <w:color w:val="FF0000"/>
              </w:rPr>
              <w:t>98</w:t>
            </w:r>
          </w:p>
        </w:tc>
      </w:tr>
      <w:tr w:rsidR="0052533F" w:rsidRPr="0052533F" w14:paraId="149A14FB" w14:textId="77777777" w:rsidTr="00D1151A">
        <w:trPr>
          <w:trHeight w:val="176"/>
        </w:trPr>
        <w:tc>
          <w:tcPr>
            <w:tcW w:w="4778" w:type="dxa"/>
            <w:tcBorders>
              <w:top w:val="nil"/>
              <w:left w:val="nil"/>
              <w:bottom w:val="nil"/>
              <w:right w:val="nil"/>
            </w:tcBorders>
            <w:shd w:val="clear" w:color="auto" w:fill="E7E7E7"/>
            <w:tcMar>
              <w:top w:w="72" w:type="dxa"/>
              <w:left w:w="144" w:type="dxa"/>
              <w:bottom w:w="72" w:type="dxa"/>
              <w:right w:w="144" w:type="dxa"/>
            </w:tcMar>
            <w:vAlign w:val="center"/>
            <w:hideMark/>
          </w:tcPr>
          <w:p w14:paraId="0CEB052C" w14:textId="77777777" w:rsidR="0052533F" w:rsidRPr="00E93D7D" w:rsidRDefault="0052533F" w:rsidP="0052533F">
            <w:pPr>
              <w:spacing w:after="0" w:line="214" w:lineRule="atLeast"/>
              <w:rPr>
                <w:rFonts w:eastAsia="Times New Roman" w:cs="Arial"/>
              </w:rPr>
            </w:pPr>
            <w:r w:rsidRPr="00E93D7D">
              <w:rPr>
                <w:rFonts w:eastAsia="Times New Roman" w:cs="Arial"/>
                <w:color w:val="000000" w:themeColor="dark1"/>
                <w:kern w:val="24"/>
              </w:rPr>
              <w:t>Base variability (row 34)</w:t>
            </w:r>
          </w:p>
        </w:tc>
        <w:tc>
          <w:tcPr>
            <w:tcW w:w="2085" w:type="dxa"/>
            <w:tcBorders>
              <w:top w:val="nil"/>
              <w:left w:val="nil"/>
              <w:bottom w:val="nil"/>
              <w:right w:val="nil"/>
            </w:tcBorders>
            <w:shd w:val="clear" w:color="auto" w:fill="E7E7E7"/>
            <w:tcMar>
              <w:top w:w="20" w:type="dxa"/>
              <w:left w:w="20" w:type="dxa"/>
              <w:bottom w:w="0" w:type="dxa"/>
              <w:right w:w="20" w:type="dxa"/>
            </w:tcMar>
            <w:vAlign w:val="center"/>
            <w:hideMark/>
          </w:tcPr>
          <w:p w14:paraId="2F321CD6" w14:textId="0A6F8194" w:rsidR="0052533F" w:rsidRPr="002F4CB8" w:rsidRDefault="00787898" w:rsidP="003769D0">
            <w:pPr>
              <w:spacing w:after="0" w:line="240" w:lineRule="auto"/>
              <w:jc w:val="center"/>
              <w:rPr>
                <w:rFonts w:eastAsia="Times New Roman" w:cs="Arial"/>
                <w:b/>
                <w:color w:val="FF0000"/>
              </w:rPr>
            </w:pPr>
            <w:r w:rsidRPr="002F4CB8">
              <w:rPr>
                <w:rFonts w:eastAsia="Times New Roman" w:cs="Arial"/>
                <w:b/>
                <w:color w:val="FF0000"/>
              </w:rPr>
              <w:t>54</w:t>
            </w:r>
          </w:p>
        </w:tc>
        <w:tc>
          <w:tcPr>
            <w:tcW w:w="2433" w:type="dxa"/>
            <w:tcBorders>
              <w:top w:val="nil"/>
              <w:left w:val="nil"/>
              <w:bottom w:val="nil"/>
              <w:right w:val="nil"/>
            </w:tcBorders>
            <w:shd w:val="clear" w:color="auto" w:fill="E7E7E7"/>
            <w:tcMar>
              <w:top w:w="20" w:type="dxa"/>
              <w:left w:w="20" w:type="dxa"/>
              <w:bottom w:w="0" w:type="dxa"/>
              <w:right w:w="20" w:type="dxa"/>
            </w:tcMar>
            <w:vAlign w:val="center"/>
            <w:hideMark/>
          </w:tcPr>
          <w:p w14:paraId="30890BE5" w14:textId="162F97E8" w:rsidR="0052533F" w:rsidRPr="002F4CB8" w:rsidRDefault="00787898" w:rsidP="003769D0">
            <w:pPr>
              <w:spacing w:after="0" w:line="240" w:lineRule="auto"/>
              <w:jc w:val="center"/>
              <w:rPr>
                <w:rFonts w:eastAsia="Times New Roman" w:cs="Arial"/>
                <w:b/>
                <w:color w:val="FF0000"/>
              </w:rPr>
            </w:pPr>
            <w:r w:rsidRPr="002F4CB8">
              <w:rPr>
                <w:rFonts w:eastAsia="Times New Roman" w:cs="Arial"/>
                <w:b/>
                <w:color w:val="FF0000"/>
              </w:rPr>
              <w:t>94</w:t>
            </w:r>
          </w:p>
        </w:tc>
      </w:tr>
      <w:tr w:rsidR="0052533F" w:rsidRPr="0052533F" w14:paraId="378D708B" w14:textId="77777777" w:rsidTr="00D1151A">
        <w:trPr>
          <w:trHeight w:val="210"/>
        </w:trPr>
        <w:tc>
          <w:tcPr>
            <w:tcW w:w="4778" w:type="dxa"/>
            <w:tcBorders>
              <w:top w:val="nil"/>
              <w:left w:val="nil"/>
              <w:bottom w:val="nil"/>
              <w:right w:val="nil"/>
            </w:tcBorders>
            <w:shd w:val="clear" w:color="auto" w:fill="auto"/>
            <w:tcMar>
              <w:top w:w="72" w:type="dxa"/>
              <w:left w:w="144" w:type="dxa"/>
              <w:bottom w:w="72" w:type="dxa"/>
              <w:right w:w="144" w:type="dxa"/>
            </w:tcMar>
            <w:vAlign w:val="center"/>
            <w:hideMark/>
          </w:tcPr>
          <w:p w14:paraId="76238AEA" w14:textId="77777777" w:rsidR="0052533F" w:rsidRPr="00E93D7D" w:rsidRDefault="0052533F" w:rsidP="0052533F">
            <w:pPr>
              <w:spacing w:after="0" w:line="216" w:lineRule="auto"/>
              <w:rPr>
                <w:rFonts w:eastAsia="Times New Roman" w:cs="Arial"/>
              </w:rPr>
            </w:pPr>
            <w:r w:rsidRPr="00E93D7D">
              <w:rPr>
                <w:rFonts w:eastAsia="Times New Roman" w:cs="Arial"/>
                <w:color w:val="000000" w:themeColor="dark1"/>
                <w:kern w:val="24"/>
              </w:rPr>
              <w:t>Lifecycle performance risk premium (row 36)</w:t>
            </w:r>
          </w:p>
        </w:tc>
        <w:tc>
          <w:tcPr>
            <w:tcW w:w="2085" w:type="dxa"/>
            <w:tcBorders>
              <w:top w:val="nil"/>
              <w:left w:val="nil"/>
              <w:bottom w:val="nil"/>
              <w:right w:val="nil"/>
            </w:tcBorders>
            <w:shd w:val="clear" w:color="auto" w:fill="auto"/>
            <w:tcMar>
              <w:top w:w="20" w:type="dxa"/>
              <w:left w:w="20" w:type="dxa"/>
              <w:bottom w:w="0" w:type="dxa"/>
              <w:right w:w="20" w:type="dxa"/>
            </w:tcMar>
            <w:vAlign w:val="center"/>
            <w:hideMark/>
          </w:tcPr>
          <w:p w14:paraId="4C9539E1" w14:textId="3AE36AF6" w:rsidR="0052533F" w:rsidRPr="002F4CB8" w:rsidRDefault="00787898" w:rsidP="003769D0">
            <w:pPr>
              <w:spacing w:after="0" w:line="240" w:lineRule="auto"/>
              <w:jc w:val="center"/>
              <w:rPr>
                <w:rFonts w:eastAsia="Times New Roman" w:cs="Arial"/>
                <w:b/>
                <w:color w:val="FF0000"/>
              </w:rPr>
            </w:pPr>
            <w:r w:rsidRPr="002F4CB8">
              <w:rPr>
                <w:rFonts w:eastAsia="Times New Roman" w:cs="Arial"/>
                <w:b/>
                <w:color w:val="FF0000"/>
              </w:rPr>
              <w:t>93</w:t>
            </w:r>
          </w:p>
        </w:tc>
        <w:tc>
          <w:tcPr>
            <w:tcW w:w="2433" w:type="dxa"/>
            <w:tcBorders>
              <w:top w:val="nil"/>
              <w:left w:val="nil"/>
              <w:bottom w:val="nil"/>
              <w:right w:val="nil"/>
            </w:tcBorders>
            <w:shd w:val="clear" w:color="auto" w:fill="auto"/>
            <w:tcMar>
              <w:top w:w="20" w:type="dxa"/>
              <w:left w:w="20" w:type="dxa"/>
              <w:bottom w:w="0" w:type="dxa"/>
              <w:right w:w="20" w:type="dxa"/>
            </w:tcMar>
            <w:vAlign w:val="center"/>
            <w:hideMark/>
          </w:tcPr>
          <w:p w14:paraId="13DA44C8" w14:textId="418B2460" w:rsidR="0052533F" w:rsidRPr="002F4CB8" w:rsidRDefault="00787898" w:rsidP="003769D0">
            <w:pPr>
              <w:spacing w:after="0" w:line="240" w:lineRule="auto"/>
              <w:jc w:val="center"/>
              <w:rPr>
                <w:rFonts w:eastAsia="Times New Roman" w:cs="Arial"/>
                <w:b/>
                <w:color w:val="FF0000"/>
              </w:rPr>
            </w:pPr>
            <w:r w:rsidRPr="002F4CB8">
              <w:rPr>
                <w:rFonts w:eastAsia="Times New Roman" w:cs="Arial"/>
                <w:b/>
                <w:color w:val="FF0000"/>
              </w:rPr>
              <w:t>515</w:t>
            </w:r>
          </w:p>
        </w:tc>
      </w:tr>
      <w:tr w:rsidR="0052533F" w:rsidRPr="0052533F" w14:paraId="4D45B644" w14:textId="77777777" w:rsidTr="00D1151A">
        <w:trPr>
          <w:trHeight w:val="210"/>
        </w:trPr>
        <w:tc>
          <w:tcPr>
            <w:tcW w:w="4778" w:type="dxa"/>
            <w:tcBorders>
              <w:top w:val="nil"/>
              <w:left w:val="nil"/>
              <w:bottom w:val="double" w:sz="12" w:space="0" w:color="000000"/>
              <w:right w:val="nil"/>
            </w:tcBorders>
            <w:shd w:val="clear" w:color="auto" w:fill="E7E7E7"/>
            <w:tcMar>
              <w:top w:w="72" w:type="dxa"/>
              <w:left w:w="144" w:type="dxa"/>
              <w:bottom w:w="72" w:type="dxa"/>
              <w:right w:w="144" w:type="dxa"/>
            </w:tcMar>
            <w:vAlign w:val="center"/>
            <w:hideMark/>
          </w:tcPr>
          <w:p w14:paraId="48234DB3" w14:textId="77777777" w:rsidR="0052533F" w:rsidRPr="00E93D7D" w:rsidRDefault="0052533F" w:rsidP="0052533F">
            <w:pPr>
              <w:spacing w:after="0" w:line="216" w:lineRule="auto"/>
              <w:rPr>
                <w:rFonts w:eastAsia="Times New Roman" w:cs="Arial"/>
              </w:rPr>
            </w:pPr>
            <w:r w:rsidRPr="00E93D7D">
              <w:rPr>
                <w:rFonts w:eastAsia="Times New Roman" w:cs="Arial"/>
                <w:color w:val="000000" w:themeColor="dark1"/>
                <w:kern w:val="24"/>
              </w:rPr>
              <w:t>Revenue uncertainty adjustment (row 38)</w:t>
            </w:r>
          </w:p>
        </w:tc>
        <w:tc>
          <w:tcPr>
            <w:tcW w:w="2085" w:type="dxa"/>
            <w:tcBorders>
              <w:top w:val="nil"/>
              <w:left w:val="nil"/>
              <w:bottom w:val="double" w:sz="12" w:space="0" w:color="000000"/>
              <w:right w:val="nil"/>
            </w:tcBorders>
            <w:shd w:val="clear" w:color="auto" w:fill="E7E7E7"/>
            <w:tcMar>
              <w:top w:w="20" w:type="dxa"/>
              <w:left w:w="20" w:type="dxa"/>
              <w:bottom w:w="0" w:type="dxa"/>
              <w:right w:w="20" w:type="dxa"/>
            </w:tcMar>
            <w:vAlign w:val="center"/>
            <w:hideMark/>
          </w:tcPr>
          <w:p w14:paraId="0D68B7A1" w14:textId="11FF5BE2" w:rsidR="0052533F" w:rsidRPr="002F4CB8" w:rsidRDefault="00787898" w:rsidP="003769D0">
            <w:pPr>
              <w:spacing w:after="0" w:line="240" w:lineRule="auto"/>
              <w:jc w:val="center"/>
              <w:rPr>
                <w:rFonts w:eastAsia="Times New Roman" w:cs="Arial"/>
                <w:b/>
                <w:color w:val="FF0000"/>
              </w:rPr>
            </w:pPr>
            <w:r w:rsidRPr="002F4CB8">
              <w:rPr>
                <w:rFonts w:eastAsia="Times New Roman" w:cs="Arial"/>
                <w:b/>
                <w:color w:val="FF0000"/>
              </w:rPr>
              <w:t>51</w:t>
            </w:r>
          </w:p>
        </w:tc>
        <w:tc>
          <w:tcPr>
            <w:tcW w:w="2433" w:type="dxa"/>
            <w:tcBorders>
              <w:top w:val="nil"/>
              <w:left w:val="nil"/>
              <w:bottom w:val="double" w:sz="12" w:space="0" w:color="000000"/>
              <w:right w:val="nil"/>
            </w:tcBorders>
            <w:shd w:val="clear" w:color="auto" w:fill="E7E7E7"/>
            <w:tcMar>
              <w:top w:w="20" w:type="dxa"/>
              <w:left w:w="20" w:type="dxa"/>
              <w:bottom w:w="0" w:type="dxa"/>
              <w:right w:w="20" w:type="dxa"/>
            </w:tcMar>
            <w:vAlign w:val="center"/>
            <w:hideMark/>
          </w:tcPr>
          <w:p w14:paraId="055948AD" w14:textId="0C749AE3" w:rsidR="0052533F" w:rsidRPr="002F4CB8" w:rsidRDefault="00787898" w:rsidP="003769D0">
            <w:pPr>
              <w:spacing w:after="0" w:line="240" w:lineRule="auto"/>
              <w:jc w:val="center"/>
              <w:rPr>
                <w:rFonts w:eastAsia="Times New Roman" w:cs="Arial"/>
                <w:b/>
                <w:color w:val="FF0000"/>
              </w:rPr>
            </w:pPr>
            <w:r w:rsidRPr="002F4CB8">
              <w:rPr>
                <w:rFonts w:eastAsia="Times New Roman" w:cs="Arial"/>
                <w:b/>
                <w:color w:val="FF0000"/>
              </w:rPr>
              <w:t>382</w:t>
            </w:r>
          </w:p>
        </w:tc>
      </w:tr>
      <w:tr w:rsidR="0052533F" w:rsidRPr="0052533F" w14:paraId="085B7F89" w14:textId="77777777" w:rsidTr="00D1151A">
        <w:trPr>
          <w:trHeight w:val="185"/>
        </w:trPr>
        <w:tc>
          <w:tcPr>
            <w:tcW w:w="4778" w:type="dxa"/>
            <w:tcBorders>
              <w:top w:val="double" w:sz="12" w:space="0" w:color="000000"/>
              <w:left w:val="nil"/>
              <w:bottom w:val="single" w:sz="18" w:space="0" w:color="000000"/>
              <w:right w:val="nil"/>
            </w:tcBorders>
            <w:shd w:val="clear" w:color="auto" w:fill="auto"/>
            <w:tcMar>
              <w:top w:w="72" w:type="dxa"/>
              <w:left w:w="144" w:type="dxa"/>
              <w:bottom w:w="72" w:type="dxa"/>
              <w:right w:w="144" w:type="dxa"/>
            </w:tcMar>
            <w:vAlign w:val="center"/>
            <w:hideMark/>
          </w:tcPr>
          <w:p w14:paraId="066E28FF" w14:textId="3A9D92D4" w:rsidR="0052533F" w:rsidRPr="00E93D7D" w:rsidRDefault="0052533F" w:rsidP="0052533F">
            <w:pPr>
              <w:spacing w:after="0" w:line="224" w:lineRule="atLeast"/>
              <w:rPr>
                <w:rFonts w:eastAsia="Times New Roman" w:cs="Arial"/>
              </w:rPr>
            </w:pPr>
            <w:r w:rsidRPr="00E93D7D">
              <w:rPr>
                <w:rFonts w:eastAsia="Times New Roman" w:cs="Arial"/>
                <w:b/>
                <w:bCs/>
                <w:color w:val="000000" w:themeColor="dark1"/>
                <w:kern w:val="24"/>
              </w:rPr>
              <w:t>Total risks transferred under P3</w:t>
            </w:r>
            <w:r w:rsidR="00787898">
              <w:rPr>
                <w:rFonts w:eastAsia="Times New Roman" w:cs="Arial"/>
                <w:b/>
                <w:bCs/>
                <w:color w:val="000000" w:themeColor="dark1"/>
                <w:kern w:val="24"/>
              </w:rPr>
              <w:t xml:space="preserve"> (row 45)</w:t>
            </w:r>
          </w:p>
        </w:tc>
        <w:tc>
          <w:tcPr>
            <w:tcW w:w="2085" w:type="dxa"/>
            <w:tcBorders>
              <w:top w:val="double" w:sz="12" w:space="0" w:color="000000"/>
              <w:left w:val="nil"/>
              <w:bottom w:val="single" w:sz="18" w:space="0" w:color="000000"/>
              <w:right w:val="nil"/>
            </w:tcBorders>
            <w:shd w:val="clear" w:color="auto" w:fill="auto"/>
            <w:tcMar>
              <w:top w:w="20" w:type="dxa"/>
              <w:left w:w="20" w:type="dxa"/>
              <w:bottom w:w="0" w:type="dxa"/>
              <w:right w:w="20" w:type="dxa"/>
            </w:tcMar>
            <w:vAlign w:val="center"/>
            <w:hideMark/>
          </w:tcPr>
          <w:p w14:paraId="4B276D64" w14:textId="7066A943" w:rsidR="0052533F" w:rsidRPr="002F4CB8" w:rsidRDefault="00787898" w:rsidP="003769D0">
            <w:pPr>
              <w:spacing w:after="0" w:line="240" w:lineRule="auto"/>
              <w:jc w:val="center"/>
              <w:rPr>
                <w:rFonts w:eastAsia="Times New Roman" w:cs="Arial"/>
                <w:b/>
                <w:color w:val="FF0000"/>
              </w:rPr>
            </w:pPr>
            <w:r w:rsidRPr="002F4CB8">
              <w:rPr>
                <w:rFonts w:eastAsia="Times New Roman" w:cs="Arial"/>
                <w:b/>
                <w:color w:val="FF0000"/>
              </w:rPr>
              <w:t>238</w:t>
            </w:r>
          </w:p>
        </w:tc>
        <w:tc>
          <w:tcPr>
            <w:tcW w:w="2433" w:type="dxa"/>
            <w:tcBorders>
              <w:top w:val="double" w:sz="12" w:space="0" w:color="000000"/>
              <w:left w:val="nil"/>
              <w:bottom w:val="single" w:sz="18" w:space="0" w:color="000000"/>
              <w:right w:val="nil"/>
            </w:tcBorders>
            <w:shd w:val="clear" w:color="auto" w:fill="auto"/>
            <w:tcMar>
              <w:top w:w="20" w:type="dxa"/>
              <w:left w:w="20" w:type="dxa"/>
              <w:bottom w:w="0" w:type="dxa"/>
              <w:right w:w="20" w:type="dxa"/>
            </w:tcMar>
            <w:vAlign w:val="center"/>
            <w:hideMark/>
          </w:tcPr>
          <w:p w14:paraId="429C7C5B" w14:textId="2D787563" w:rsidR="0052533F" w:rsidRPr="002F4CB8" w:rsidRDefault="00787898" w:rsidP="003769D0">
            <w:pPr>
              <w:spacing w:after="0" w:line="240" w:lineRule="auto"/>
              <w:jc w:val="center"/>
              <w:rPr>
                <w:rFonts w:eastAsia="Times New Roman" w:cs="Arial"/>
                <w:b/>
                <w:color w:val="FF0000"/>
              </w:rPr>
            </w:pPr>
            <w:r w:rsidRPr="002F4CB8">
              <w:rPr>
                <w:rFonts w:eastAsia="Times New Roman" w:cs="Arial"/>
                <w:b/>
                <w:color w:val="FF0000"/>
              </w:rPr>
              <w:t>1,089</w:t>
            </w:r>
          </w:p>
        </w:tc>
      </w:tr>
    </w:tbl>
    <w:p w14:paraId="4FC57CEB" w14:textId="77777777" w:rsidR="0052533F" w:rsidRDefault="0052533F" w:rsidP="0052533F">
      <w:pPr>
        <w:spacing w:after="0" w:line="240" w:lineRule="auto"/>
      </w:pPr>
    </w:p>
    <w:p w14:paraId="2236FDB4" w14:textId="77777777" w:rsidR="0023273E" w:rsidRPr="002066E5" w:rsidRDefault="0023273E" w:rsidP="0023273E">
      <w:r w:rsidRPr="002066E5">
        <w:t>Below, please res</w:t>
      </w:r>
      <w:r>
        <w:t>pond to the following questions; we will also discuss them at the webinar</w:t>
      </w:r>
      <w:r w:rsidRPr="002066E5">
        <w:t>:</w:t>
      </w:r>
    </w:p>
    <w:p w14:paraId="02A2DB7B" w14:textId="4A0060B1" w:rsidR="00E93D7D" w:rsidRPr="00692B8F" w:rsidRDefault="00E93D7D" w:rsidP="002F4CB8">
      <w:pPr>
        <w:pStyle w:val="ListParagraph"/>
        <w:numPr>
          <w:ilvl w:val="0"/>
          <w:numId w:val="11"/>
        </w:numPr>
        <w:tabs>
          <w:tab w:val="clear" w:pos="720"/>
          <w:tab w:val="num" w:pos="360"/>
        </w:tabs>
        <w:spacing w:after="0" w:line="240" w:lineRule="auto"/>
        <w:ind w:left="360"/>
      </w:pPr>
      <w:r>
        <w:t>What is t</w:t>
      </w:r>
      <w:r w:rsidRPr="0052533F">
        <w:t xml:space="preserve">he discount rate used to calculate NPV </w:t>
      </w:r>
      <w:r>
        <w:t>of</w:t>
      </w:r>
      <w:r w:rsidRPr="0052533F">
        <w:t xml:space="preserve"> the P3 </w:t>
      </w:r>
      <w:r>
        <w:t>risks</w:t>
      </w:r>
      <w:r w:rsidRPr="00692B8F">
        <w:rPr>
          <w:i/>
          <w:iCs/>
        </w:rPr>
        <w:t xml:space="preserve"> (see top of column M)?  </w:t>
      </w:r>
      <w:r w:rsidRPr="00692B8F">
        <w:rPr>
          <w:iCs/>
        </w:rPr>
        <w:t xml:space="preserve">Why is it different from what is used for calculating NPV of </w:t>
      </w:r>
      <w:r w:rsidR="00692B8F" w:rsidRPr="00692B8F">
        <w:rPr>
          <w:iCs/>
        </w:rPr>
        <w:t>risks under conventional delivery?</w:t>
      </w:r>
      <w:r w:rsidRPr="00692B8F">
        <w:rPr>
          <w:i/>
          <w:iCs/>
        </w:rPr>
        <w:t xml:space="preserve"> </w:t>
      </w:r>
    </w:p>
    <w:p w14:paraId="0B8A4ED4" w14:textId="77777777" w:rsidR="00692B8F" w:rsidRDefault="00692B8F" w:rsidP="002F4CB8">
      <w:pPr>
        <w:spacing w:after="0" w:line="240" w:lineRule="auto"/>
      </w:pPr>
    </w:p>
    <w:p w14:paraId="5F07AA09" w14:textId="2CF21792" w:rsidR="00692B8F" w:rsidRPr="002F4CB8" w:rsidRDefault="001A68CA" w:rsidP="002F4CB8">
      <w:pPr>
        <w:spacing w:after="0" w:line="240" w:lineRule="auto"/>
        <w:ind w:left="360"/>
        <w:rPr>
          <w:b/>
          <w:color w:val="FF0000"/>
        </w:rPr>
      </w:pPr>
      <w:r w:rsidRPr="002F4CB8">
        <w:rPr>
          <w:b/>
          <w:color w:val="FF0000"/>
        </w:rPr>
        <w:t xml:space="preserve">The discount rate is 8.84%. This value is higher than the rate used under conventional delivery (4.0%) because the agency has a lower cost of capital </w:t>
      </w:r>
      <w:r w:rsidR="00200463" w:rsidRPr="002F4CB8">
        <w:rPr>
          <w:b/>
          <w:color w:val="FF0000"/>
        </w:rPr>
        <w:t xml:space="preserve">(i.e., WACC) </w:t>
      </w:r>
      <w:r w:rsidRPr="002F4CB8">
        <w:rPr>
          <w:b/>
          <w:color w:val="FF0000"/>
        </w:rPr>
        <w:t>than the P3 developer</w:t>
      </w:r>
      <w:r w:rsidR="00200463" w:rsidRPr="002F4CB8">
        <w:rPr>
          <w:b/>
          <w:color w:val="FF0000"/>
        </w:rPr>
        <w:t>, and the P3’s WACC is used as the discount rate to obtain present values of P3 risk costs (as also for other P3 cash flows) since the perspective is that of the concessionaire</w:t>
      </w:r>
      <w:r w:rsidRPr="002F4CB8">
        <w:rPr>
          <w:b/>
          <w:color w:val="FF0000"/>
        </w:rPr>
        <w:t>.</w:t>
      </w:r>
    </w:p>
    <w:p w14:paraId="4412F14A" w14:textId="77777777" w:rsidR="00692B8F" w:rsidRPr="0052533F" w:rsidRDefault="00692B8F" w:rsidP="00692B8F">
      <w:pPr>
        <w:spacing w:after="0" w:line="240" w:lineRule="auto"/>
      </w:pPr>
    </w:p>
    <w:p w14:paraId="5F02799F" w14:textId="1F61DA58" w:rsidR="00692B8F" w:rsidRPr="00692B8F" w:rsidRDefault="00692B8F" w:rsidP="00692B8F">
      <w:pPr>
        <w:spacing w:after="0" w:line="240" w:lineRule="auto"/>
        <w:ind w:left="360"/>
        <w:rPr>
          <w:iCs/>
        </w:rPr>
      </w:pPr>
      <w:r w:rsidRPr="00692B8F">
        <w:rPr>
          <w:iCs/>
        </w:rPr>
        <w:t xml:space="preserve">Please fill in the blanks below (see </w:t>
      </w:r>
      <w:r w:rsidRPr="00692B8F">
        <w:rPr>
          <w:b/>
          <w:bCs/>
          <w:i/>
          <w:iCs/>
        </w:rPr>
        <w:t>Risk Output for VfM</w:t>
      </w:r>
      <w:r w:rsidRPr="00692B8F">
        <w:rPr>
          <w:b/>
          <w:bCs/>
          <w:iCs/>
        </w:rPr>
        <w:t xml:space="preserve"> </w:t>
      </w:r>
      <w:r w:rsidRPr="00692B8F">
        <w:rPr>
          <w:iCs/>
        </w:rPr>
        <w:t>sheet):</w:t>
      </w:r>
    </w:p>
    <w:p w14:paraId="7D00C357" w14:textId="77777777" w:rsidR="00692B8F" w:rsidRPr="00D1151A" w:rsidRDefault="00692B8F" w:rsidP="00692B8F">
      <w:pPr>
        <w:spacing w:after="0" w:line="240" w:lineRule="auto"/>
      </w:pPr>
    </w:p>
    <w:p w14:paraId="2152E71B" w14:textId="701C69AF" w:rsidR="00692B8F" w:rsidRPr="00D1151A" w:rsidRDefault="00692B8F" w:rsidP="00692B8F">
      <w:pPr>
        <w:numPr>
          <w:ilvl w:val="0"/>
          <w:numId w:val="23"/>
        </w:numPr>
        <w:spacing w:after="0" w:line="240" w:lineRule="auto"/>
      </w:pPr>
      <w:r w:rsidRPr="00D1151A">
        <w:t xml:space="preserve">Nominal value of all risks retained by Agency under PSC      </w:t>
      </w:r>
      <w:r>
        <w:t xml:space="preserve"> </w:t>
      </w:r>
      <w:r w:rsidRPr="00D1151A">
        <w:t xml:space="preserve"> $__</w:t>
      </w:r>
      <w:r w:rsidR="00353DA0" w:rsidRPr="00467F98">
        <w:rPr>
          <w:b/>
          <w:color w:val="FF0000"/>
        </w:rPr>
        <w:t>1,184</w:t>
      </w:r>
      <w:r w:rsidRPr="00D1151A">
        <w:t>____M</w:t>
      </w:r>
    </w:p>
    <w:p w14:paraId="0478AC16" w14:textId="5C378011" w:rsidR="00692B8F" w:rsidRPr="00D1151A" w:rsidRDefault="00692B8F" w:rsidP="00692B8F">
      <w:pPr>
        <w:numPr>
          <w:ilvl w:val="0"/>
          <w:numId w:val="23"/>
        </w:numPr>
        <w:spacing w:after="0" w:line="240" w:lineRule="auto"/>
      </w:pPr>
      <w:r w:rsidRPr="00D1151A">
        <w:t>Nominal value of all retained + transferred risks under P3      $__</w:t>
      </w:r>
      <w:r w:rsidR="00997E44" w:rsidRPr="00467F98">
        <w:rPr>
          <w:b/>
          <w:color w:val="FF0000"/>
        </w:rPr>
        <w:t>1,110</w:t>
      </w:r>
      <w:r w:rsidRPr="00D1151A">
        <w:t>____M</w:t>
      </w:r>
    </w:p>
    <w:p w14:paraId="3E5B1291" w14:textId="5838EFE7" w:rsidR="00692B8F" w:rsidRDefault="00692B8F" w:rsidP="00692B8F">
      <w:pPr>
        <w:numPr>
          <w:ilvl w:val="0"/>
          <w:numId w:val="23"/>
        </w:numPr>
      </w:pPr>
      <w:r w:rsidRPr="00D1151A">
        <w:t xml:space="preserve">Nominal value of difference                                           </w:t>
      </w:r>
      <w:r w:rsidRPr="00D1151A">
        <w:tab/>
        <w:t xml:space="preserve">  </w:t>
      </w:r>
      <w:r>
        <w:t xml:space="preserve">             </w:t>
      </w:r>
      <w:r w:rsidRPr="00D1151A">
        <w:t>$__</w:t>
      </w:r>
      <w:r w:rsidR="00997E44" w:rsidRPr="00467F98">
        <w:rPr>
          <w:b/>
          <w:color w:val="FF0000"/>
        </w:rPr>
        <w:t>74</w:t>
      </w:r>
      <w:r w:rsidRPr="00D1151A">
        <w:t>____M</w:t>
      </w:r>
    </w:p>
    <w:p w14:paraId="1A8CA014" w14:textId="46E41BE4" w:rsidR="003E5960" w:rsidRPr="00692B8F" w:rsidRDefault="0042183E" w:rsidP="002F4CB8">
      <w:pPr>
        <w:numPr>
          <w:ilvl w:val="0"/>
          <w:numId w:val="11"/>
        </w:numPr>
        <w:tabs>
          <w:tab w:val="clear" w:pos="720"/>
          <w:tab w:val="num" w:pos="360"/>
        </w:tabs>
        <w:ind w:left="360"/>
      </w:pPr>
      <w:r w:rsidRPr="00D1151A">
        <w:rPr>
          <w:iCs/>
        </w:rPr>
        <w:t>Does the difference indicate that the overall risk transfer was beneficial to the Agency?</w:t>
      </w:r>
    </w:p>
    <w:p w14:paraId="2F4AF4A8" w14:textId="28374729" w:rsidR="00692B8F" w:rsidRPr="002F4CB8" w:rsidRDefault="00997E44" w:rsidP="002F4CB8">
      <w:pPr>
        <w:ind w:left="360"/>
        <w:rPr>
          <w:b/>
          <w:iCs/>
          <w:color w:val="FF0000"/>
        </w:rPr>
      </w:pPr>
      <w:r w:rsidRPr="002F4CB8">
        <w:rPr>
          <w:b/>
          <w:iCs/>
          <w:color w:val="FF0000"/>
        </w:rPr>
        <w:lastRenderedPageBreak/>
        <w:t>Yes. The total nominal value of risks retained and transferred under the P3 scenario is $74 million less than under the PSC scenario.</w:t>
      </w:r>
    </w:p>
    <w:p w14:paraId="50D51D8C" w14:textId="25478BB7" w:rsidR="003E5960" w:rsidRPr="00692B8F" w:rsidRDefault="0042183E" w:rsidP="002F4CB8">
      <w:pPr>
        <w:numPr>
          <w:ilvl w:val="0"/>
          <w:numId w:val="11"/>
        </w:numPr>
        <w:tabs>
          <w:tab w:val="clear" w:pos="720"/>
          <w:tab w:val="num" w:pos="360"/>
        </w:tabs>
        <w:ind w:left="360"/>
      </w:pPr>
      <w:r w:rsidRPr="00692B8F">
        <w:rPr>
          <w:iCs/>
        </w:rPr>
        <w:t xml:space="preserve">Compare </w:t>
      </w:r>
      <w:r w:rsidR="00CE40BC">
        <w:rPr>
          <w:iCs/>
        </w:rPr>
        <w:t xml:space="preserve">the </w:t>
      </w:r>
      <w:r w:rsidRPr="00692B8F">
        <w:rPr>
          <w:iCs/>
        </w:rPr>
        <w:t xml:space="preserve">P3 </w:t>
      </w:r>
      <w:r w:rsidR="00CE40BC">
        <w:rPr>
          <w:iCs/>
        </w:rPr>
        <w:t xml:space="preserve">and PSC </w:t>
      </w:r>
      <w:r w:rsidR="004762EA">
        <w:rPr>
          <w:iCs/>
        </w:rPr>
        <w:t xml:space="preserve">total </w:t>
      </w:r>
      <w:r w:rsidRPr="00692B8F">
        <w:rPr>
          <w:b/>
          <w:i/>
          <w:iCs/>
        </w:rPr>
        <w:t>nominal values</w:t>
      </w:r>
      <w:r w:rsidRPr="00692B8F">
        <w:rPr>
          <w:iCs/>
        </w:rPr>
        <w:t xml:space="preserve"> of risks.  </w:t>
      </w:r>
      <w:r w:rsidR="00692B8F" w:rsidRPr="00692B8F">
        <w:rPr>
          <w:iCs/>
        </w:rPr>
        <w:t xml:space="preserve">Then </w:t>
      </w:r>
      <w:r w:rsidR="00692B8F">
        <w:rPr>
          <w:iCs/>
        </w:rPr>
        <w:t>c</w:t>
      </w:r>
      <w:r w:rsidRPr="00692B8F">
        <w:rPr>
          <w:iCs/>
        </w:rPr>
        <w:t>ompare the</w:t>
      </w:r>
      <w:r w:rsidR="004762EA">
        <w:rPr>
          <w:iCs/>
        </w:rPr>
        <w:t xml:space="preserve"> total </w:t>
      </w:r>
      <w:r w:rsidR="004762EA" w:rsidRPr="003769D0">
        <w:rPr>
          <w:b/>
          <w:i/>
          <w:iCs/>
        </w:rPr>
        <w:t>net</w:t>
      </w:r>
      <w:r w:rsidRPr="003769D0">
        <w:rPr>
          <w:b/>
          <w:i/>
          <w:iCs/>
        </w:rPr>
        <w:t xml:space="preserve"> </w:t>
      </w:r>
      <w:r w:rsidRPr="00692B8F">
        <w:rPr>
          <w:b/>
          <w:i/>
          <w:iCs/>
        </w:rPr>
        <w:t>present values</w:t>
      </w:r>
      <w:r w:rsidRPr="00692B8F">
        <w:rPr>
          <w:iCs/>
        </w:rPr>
        <w:t xml:space="preserve"> for P3 and PSC. Can you explain the larger differences? </w:t>
      </w:r>
    </w:p>
    <w:p w14:paraId="1CCF6D81" w14:textId="0B2CA42F" w:rsidR="00692B8F" w:rsidRPr="002F4CB8" w:rsidRDefault="004762EA" w:rsidP="002F4CB8">
      <w:pPr>
        <w:ind w:left="360"/>
        <w:rPr>
          <w:b/>
          <w:iCs/>
          <w:color w:val="FF0000"/>
        </w:rPr>
      </w:pPr>
      <w:r w:rsidRPr="002F4CB8">
        <w:rPr>
          <w:b/>
          <w:iCs/>
          <w:color w:val="FF0000"/>
        </w:rPr>
        <w:t>The difference between P3 and PSC total nominal values is $74 M and the difference between total net present values is $254 M. The larger difference is primarily due to the higher discount rate (or WACC) that is applied to the risks retained by the P3 developer</w:t>
      </w:r>
      <w:r w:rsidR="006D091F" w:rsidRPr="002F4CB8">
        <w:rPr>
          <w:b/>
          <w:iCs/>
          <w:color w:val="FF0000"/>
        </w:rPr>
        <w:t xml:space="preserve"> (8.84%) compared to the rate applied to the agency (4.0%)</w:t>
      </w:r>
      <w:r w:rsidRPr="002F4CB8">
        <w:rPr>
          <w:b/>
          <w:iCs/>
          <w:color w:val="FF0000"/>
        </w:rPr>
        <w:t xml:space="preserve">. </w:t>
      </w:r>
    </w:p>
    <w:p w14:paraId="1ADB547C" w14:textId="053F3115" w:rsidR="003E5960" w:rsidRPr="00D1151A" w:rsidRDefault="0042183E" w:rsidP="002F4CB8">
      <w:pPr>
        <w:numPr>
          <w:ilvl w:val="0"/>
          <w:numId w:val="11"/>
        </w:numPr>
        <w:tabs>
          <w:tab w:val="clear" w:pos="720"/>
          <w:tab w:val="num" w:pos="360"/>
        </w:tabs>
        <w:ind w:left="360"/>
      </w:pPr>
      <w:r w:rsidRPr="00D1151A">
        <w:rPr>
          <w:iCs/>
        </w:rPr>
        <w:t xml:space="preserve">Compare the </w:t>
      </w:r>
      <w:r w:rsidRPr="00692B8F">
        <w:rPr>
          <w:b/>
          <w:i/>
          <w:iCs/>
        </w:rPr>
        <w:t>nominal values</w:t>
      </w:r>
      <w:r w:rsidRPr="00D1151A">
        <w:rPr>
          <w:iCs/>
        </w:rPr>
        <w:t xml:space="preserve"> of </w:t>
      </w:r>
      <w:r w:rsidR="00692B8F">
        <w:rPr>
          <w:iCs/>
        </w:rPr>
        <w:t xml:space="preserve">the </w:t>
      </w:r>
      <w:r w:rsidRPr="00D1151A">
        <w:rPr>
          <w:iCs/>
        </w:rPr>
        <w:t xml:space="preserve">revenue risk uncertainty adjustment for P3 and PSC. </w:t>
      </w:r>
      <w:r w:rsidR="00692B8F">
        <w:rPr>
          <w:iCs/>
        </w:rPr>
        <w:t>Can you explain why they differ</w:t>
      </w:r>
      <w:r w:rsidRPr="00D1151A">
        <w:rPr>
          <w:iCs/>
        </w:rPr>
        <w:t>?</w:t>
      </w:r>
    </w:p>
    <w:p w14:paraId="16A6FC2F" w14:textId="7A0246D3" w:rsidR="00692B8F" w:rsidRDefault="00CE40BC" w:rsidP="00467F98">
      <w:pPr>
        <w:ind w:left="360"/>
        <w:rPr>
          <w:b/>
          <w:u w:val="single"/>
        </w:rPr>
      </w:pPr>
      <w:r w:rsidRPr="002F4CB8">
        <w:rPr>
          <w:b/>
          <w:color w:val="FF0000"/>
        </w:rPr>
        <w:t xml:space="preserve">The nominal value for the </w:t>
      </w:r>
      <w:r w:rsidR="001A68CA" w:rsidRPr="002F4CB8">
        <w:rPr>
          <w:b/>
          <w:color w:val="FF0000"/>
        </w:rPr>
        <w:t xml:space="preserve">total </w:t>
      </w:r>
      <w:r w:rsidRPr="002F4CB8">
        <w:rPr>
          <w:b/>
          <w:color w:val="FF0000"/>
        </w:rPr>
        <w:t>revenue risk uncertainty adjustment under the PSC scenario is $</w:t>
      </w:r>
      <w:r w:rsidR="00200463" w:rsidRPr="002F4CB8">
        <w:rPr>
          <w:b/>
          <w:color w:val="FF0000"/>
        </w:rPr>
        <w:t xml:space="preserve">5 </w:t>
      </w:r>
      <w:r w:rsidR="006D091F" w:rsidRPr="002F4CB8">
        <w:rPr>
          <w:b/>
          <w:color w:val="FF0000"/>
        </w:rPr>
        <w:t>M</w:t>
      </w:r>
      <w:r w:rsidRPr="002F4CB8">
        <w:rPr>
          <w:b/>
          <w:color w:val="FF0000"/>
        </w:rPr>
        <w:t xml:space="preserve"> </w:t>
      </w:r>
      <w:r w:rsidR="00200463" w:rsidRPr="002F4CB8">
        <w:rPr>
          <w:b/>
          <w:color w:val="FF0000"/>
        </w:rPr>
        <w:t xml:space="preserve">lower </w:t>
      </w:r>
      <w:r w:rsidRPr="002F4CB8">
        <w:rPr>
          <w:b/>
          <w:color w:val="FF0000"/>
        </w:rPr>
        <w:t xml:space="preserve">than under the P3 scenario. </w:t>
      </w:r>
      <w:r w:rsidR="00200463" w:rsidRPr="002F4CB8">
        <w:rPr>
          <w:b/>
          <w:color w:val="FF0000"/>
        </w:rPr>
        <w:t xml:space="preserve">Due to there being one less year of facility operations than under the P3 option, total revenue is lower than under the P3 option.  Since the revenue risk uncertainty adjustment factor is a percentage that is applied to projected revenues, the revenue risk adjustment is also lower. </w:t>
      </w:r>
    </w:p>
    <w:p w14:paraId="0491F89C" w14:textId="7ED7D59E" w:rsidR="00AD0924" w:rsidRPr="00AD0924" w:rsidRDefault="00AD0924" w:rsidP="00F65654">
      <w:pPr>
        <w:rPr>
          <w:b/>
          <w:u w:val="single"/>
        </w:rPr>
      </w:pPr>
      <w:r w:rsidRPr="00AD0924">
        <w:rPr>
          <w:b/>
          <w:u w:val="single"/>
        </w:rPr>
        <w:t xml:space="preserve">Part B: </w:t>
      </w:r>
      <w:r w:rsidR="00D1151A">
        <w:rPr>
          <w:b/>
          <w:bCs/>
          <w:u w:val="single"/>
        </w:rPr>
        <w:t xml:space="preserve">Risk </w:t>
      </w:r>
      <w:r w:rsidR="00692B8F">
        <w:rPr>
          <w:b/>
          <w:bCs/>
          <w:u w:val="single"/>
        </w:rPr>
        <w:t xml:space="preserve">Valuation </w:t>
      </w:r>
      <w:r w:rsidR="00D1151A">
        <w:rPr>
          <w:b/>
          <w:bCs/>
          <w:u w:val="single"/>
        </w:rPr>
        <w:t>for Benefit-Cost Analysis</w:t>
      </w:r>
    </w:p>
    <w:p w14:paraId="5D812D02" w14:textId="0772CA36" w:rsidR="003E5960" w:rsidRPr="00D1151A" w:rsidRDefault="00692B8F" w:rsidP="002F4CB8">
      <w:pPr>
        <w:rPr>
          <w:iCs/>
        </w:rPr>
      </w:pPr>
      <w:r>
        <w:rPr>
          <w:iCs/>
        </w:rPr>
        <w:t>R</w:t>
      </w:r>
      <w:r w:rsidR="00D1151A" w:rsidRPr="00D1151A">
        <w:rPr>
          <w:iCs/>
        </w:rPr>
        <w:t>eview P</w:t>
      </w:r>
      <w:r>
        <w:rPr>
          <w:iCs/>
        </w:rPr>
        <w:t xml:space="preserve">roject Delivery </w:t>
      </w:r>
      <w:r w:rsidR="00D1151A" w:rsidRPr="00D1151A">
        <w:rPr>
          <w:iCs/>
        </w:rPr>
        <w:t xml:space="preserve">BCA </w:t>
      </w:r>
      <w:r>
        <w:rPr>
          <w:iCs/>
        </w:rPr>
        <w:t xml:space="preserve">(PDBCA) </w:t>
      </w:r>
      <w:r w:rsidR="00D1151A" w:rsidRPr="00692B8F">
        <w:rPr>
          <w:b/>
          <w:i/>
          <w:iCs/>
        </w:rPr>
        <w:t>present values</w:t>
      </w:r>
      <w:r w:rsidR="00D1151A" w:rsidRPr="00D1151A">
        <w:rPr>
          <w:iCs/>
        </w:rPr>
        <w:t xml:space="preserve"> of the following risks for the Conventional Delivery and P3 Options:</w:t>
      </w:r>
      <w:r w:rsidR="002F4CB8">
        <w:rPr>
          <w:iCs/>
        </w:rPr>
        <w:t xml:space="preserve"> (1) </w:t>
      </w:r>
      <w:r w:rsidR="0042183E" w:rsidRPr="00D1151A">
        <w:rPr>
          <w:iCs/>
        </w:rPr>
        <w:t xml:space="preserve">Base </w:t>
      </w:r>
      <w:r>
        <w:rPr>
          <w:iCs/>
        </w:rPr>
        <w:t xml:space="preserve">cost </w:t>
      </w:r>
      <w:r w:rsidR="0042183E" w:rsidRPr="00D1151A">
        <w:rPr>
          <w:iCs/>
        </w:rPr>
        <w:t>variability</w:t>
      </w:r>
      <w:r w:rsidR="002F4CB8">
        <w:rPr>
          <w:iCs/>
        </w:rPr>
        <w:t xml:space="preserve">; (2) </w:t>
      </w:r>
      <w:r w:rsidR="0042183E" w:rsidRPr="00D1151A">
        <w:rPr>
          <w:iCs/>
        </w:rPr>
        <w:t>Pure risk</w:t>
      </w:r>
      <w:r>
        <w:rPr>
          <w:iCs/>
        </w:rPr>
        <w:t>s</w:t>
      </w:r>
      <w:r w:rsidR="002F4CB8">
        <w:rPr>
          <w:iCs/>
        </w:rPr>
        <w:t xml:space="preserve">; (3) </w:t>
      </w:r>
      <w:r w:rsidR="0042183E" w:rsidRPr="00D1151A">
        <w:rPr>
          <w:iCs/>
        </w:rPr>
        <w:t>Lifecycle performance risk</w:t>
      </w:r>
      <w:r>
        <w:rPr>
          <w:iCs/>
        </w:rPr>
        <w:t>s</w:t>
      </w:r>
      <w:r w:rsidR="0042183E" w:rsidRPr="00D1151A">
        <w:rPr>
          <w:iCs/>
        </w:rPr>
        <w:t xml:space="preserve"> </w:t>
      </w:r>
    </w:p>
    <w:p w14:paraId="3AC8940F" w14:textId="672F409F" w:rsidR="00D1151A" w:rsidRPr="00D1151A" w:rsidRDefault="00D1151A" w:rsidP="00D1151A">
      <w:pPr>
        <w:rPr>
          <w:iCs/>
        </w:rPr>
      </w:pPr>
      <w:r w:rsidRPr="00D1151A">
        <w:rPr>
          <w:iCs/>
        </w:rPr>
        <w:t xml:space="preserve">Review and record below the </w:t>
      </w:r>
      <w:r w:rsidR="00692B8F" w:rsidRPr="00692B8F">
        <w:rPr>
          <w:b/>
          <w:i/>
          <w:iCs/>
        </w:rPr>
        <w:t>present values</w:t>
      </w:r>
      <w:r w:rsidR="00692B8F">
        <w:rPr>
          <w:iCs/>
        </w:rPr>
        <w:t xml:space="preserve"> of risks for </w:t>
      </w:r>
      <w:r w:rsidRPr="00D1151A">
        <w:rPr>
          <w:iCs/>
        </w:rPr>
        <w:t xml:space="preserve">Delayed Conventional Delivery and Conventional Delivery for PDBCA (see </w:t>
      </w:r>
      <w:r w:rsidRPr="00692B8F">
        <w:rPr>
          <w:b/>
          <w:bCs/>
          <w:i/>
          <w:iCs/>
        </w:rPr>
        <w:t>Risk Output for PDBCA</w:t>
      </w:r>
      <w:r w:rsidRPr="00D1151A">
        <w:rPr>
          <w:b/>
          <w:bCs/>
          <w:iCs/>
        </w:rPr>
        <w:t xml:space="preserve"> </w:t>
      </w:r>
      <w:r w:rsidRPr="00D1151A">
        <w:rPr>
          <w:iCs/>
        </w:rPr>
        <w:t>sheet)</w:t>
      </w:r>
    </w:p>
    <w:tbl>
      <w:tblPr>
        <w:tblW w:w="9492" w:type="dxa"/>
        <w:tblCellMar>
          <w:left w:w="0" w:type="dxa"/>
          <w:right w:w="0" w:type="dxa"/>
        </w:tblCellMar>
        <w:tblLook w:val="0460" w:firstRow="1" w:lastRow="1" w:firstColumn="0" w:lastColumn="0" w:noHBand="0" w:noVBand="1"/>
      </w:tblPr>
      <w:tblGrid>
        <w:gridCol w:w="5122"/>
        <w:gridCol w:w="2185"/>
        <w:gridCol w:w="2185"/>
      </w:tblGrid>
      <w:tr w:rsidR="00D1151A" w:rsidRPr="00692B8F" w14:paraId="672928A0" w14:textId="77777777" w:rsidTr="003769D0">
        <w:trPr>
          <w:trHeight w:val="1386"/>
        </w:trPr>
        <w:tc>
          <w:tcPr>
            <w:tcW w:w="5122" w:type="dxa"/>
            <w:tcBorders>
              <w:top w:val="single" w:sz="18" w:space="0" w:color="000000"/>
              <w:left w:val="nil"/>
              <w:bottom w:val="single" w:sz="18" w:space="0" w:color="000000"/>
              <w:right w:val="nil"/>
            </w:tcBorders>
            <w:shd w:val="clear" w:color="auto" w:fill="B470A3"/>
            <w:tcMar>
              <w:top w:w="72" w:type="dxa"/>
              <w:left w:w="177" w:type="dxa"/>
              <w:bottom w:w="72" w:type="dxa"/>
              <w:right w:w="177" w:type="dxa"/>
            </w:tcMar>
            <w:vAlign w:val="center"/>
            <w:hideMark/>
          </w:tcPr>
          <w:p w14:paraId="341B51BF" w14:textId="77777777" w:rsidR="00D1151A" w:rsidRPr="00692B8F" w:rsidRDefault="00D1151A" w:rsidP="00D1151A">
            <w:pPr>
              <w:spacing w:after="0" w:line="240" w:lineRule="auto"/>
              <w:rPr>
                <w:rFonts w:eastAsia="Times New Roman" w:cs="Arial"/>
              </w:rPr>
            </w:pPr>
            <w:r w:rsidRPr="00692B8F">
              <w:rPr>
                <w:rFonts w:eastAsia="Times New Roman" w:cs="Arial"/>
                <w:b/>
                <w:bCs/>
                <w:color w:val="FFFFFF" w:themeColor="light1"/>
                <w:kern w:val="24"/>
              </w:rPr>
              <w:t>Item</w:t>
            </w:r>
          </w:p>
        </w:tc>
        <w:tc>
          <w:tcPr>
            <w:tcW w:w="2185" w:type="dxa"/>
            <w:tcBorders>
              <w:top w:val="single" w:sz="18" w:space="0" w:color="000000"/>
              <w:left w:val="nil"/>
              <w:bottom w:val="single" w:sz="18" w:space="0" w:color="000000"/>
              <w:right w:val="nil"/>
            </w:tcBorders>
            <w:shd w:val="clear" w:color="auto" w:fill="B470A3"/>
            <w:tcMar>
              <w:top w:w="72" w:type="dxa"/>
              <w:left w:w="177" w:type="dxa"/>
              <w:bottom w:w="72" w:type="dxa"/>
              <w:right w:w="177" w:type="dxa"/>
            </w:tcMar>
            <w:vAlign w:val="center"/>
            <w:hideMark/>
          </w:tcPr>
          <w:p w14:paraId="171BED0C" w14:textId="77777777" w:rsidR="00D1151A" w:rsidRPr="00692B8F" w:rsidRDefault="00D1151A" w:rsidP="00D1151A">
            <w:pPr>
              <w:spacing w:after="0" w:line="240" w:lineRule="auto"/>
              <w:jc w:val="center"/>
              <w:rPr>
                <w:rFonts w:eastAsia="Times New Roman" w:cs="Arial"/>
              </w:rPr>
            </w:pPr>
            <w:r w:rsidRPr="00692B8F">
              <w:rPr>
                <w:rFonts w:eastAsia="Times New Roman" w:cs="Arial"/>
                <w:b/>
                <w:bCs/>
                <w:color w:val="FFFFFF" w:themeColor="light1"/>
                <w:kern w:val="24"/>
              </w:rPr>
              <w:t>Delayed Conventional Delivery Risk values NPV @ 3.00% ($M) for PDBCA</w:t>
            </w:r>
          </w:p>
          <w:p w14:paraId="2561A4FA" w14:textId="77777777" w:rsidR="00D1151A" w:rsidRPr="00692B8F" w:rsidRDefault="00D1151A" w:rsidP="00D1151A">
            <w:pPr>
              <w:spacing w:after="0" w:line="240" w:lineRule="auto"/>
              <w:jc w:val="center"/>
              <w:rPr>
                <w:rFonts w:eastAsia="Times New Roman" w:cs="Arial"/>
              </w:rPr>
            </w:pPr>
            <w:r w:rsidRPr="00692B8F">
              <w:rPr>
                <w:rFonts w:eastAsia="Times New Roman" w:cs="Arial"/>
                <w:b/>
                <w:bCs/>
                <w:color w:val="FFFFFF" w:themeColor="light1"/>
                <w:kern w:val="24"/>
              </w:rPr>
              <w:t>(Column G)</w:t>
            </w:r>
          </w:p>
        </w:tc>
        <w:tc>
          <w:tcPr>
            <w:tcW w:w="2185" w:type="dxa"/>
            <w:tcBorders>
              <w:top w:val="single" w:sz="18" w:space="0" w:color="000000"/>
              <w:left w:val="nil"/>
              <w:bottom w:val="single" w:sz="18" w:space="0" w:color="000000"/>
              <w:right w:val="nil"/>
            </w:tcBorders>
            <w:shd w:val="clear" w:color="auto" w:fill="B470A3"/>
            <w:tcMar>
              <w:top w:w="72" w:type="dxa"/>
              <w:left w:w="177" w:type="dxa"/>
              <w:bottom w:w="72" w:type="dxa"/>
              <w:right w:w="177" w:type="dxa"/>
            </w:tcMar>
            <w:vAlign w:val="center"/>
            <w:hideMark/>
          </w:tcPr>
          <w:p w14:paraId="2E02C677" w14:textId="77777777" w:rsidR="00D1151A" w:rsidRPr="00692B8F" w:rsidRDefault="00D1151A" w:rsidP="00D1151A">
            <w:pPr>
              <w:spacing w:after="0" w:line="240" w:lineRule="auto"/>
              <w:jc w:val="center"/>
              <w:rPr>
                <w:rFonts w:eastAsia="Times New Roman" w:cs="Arial"/>
              </w:rPr>
            </w:pPr>
            <w:r w:rsidRPr="00692B8F">
              <w:rPr>
                <w:rFonts w:eastAsia="Times New Roman" w:cs="Arial"/>
                <w:b/>
                <w:bCs/>
                <w:color w:val="FFFFFF" w:themeColor="light1"/>
                <w:kern w:val="24"/>
              </w:rPr>
              <w:t>Conventional Delivery Risk values NPV @ 3.00% ($M) for PDBCA</w:t>
            </w:r>
          </w:p>
          <w:p w14:paraId="3B848D2F" w14:textId="77777777" w:rsidR="00D1151A" w:rsidRPr="00692B8F" w:rsidRDefault="00D1151A" w:rsidP="00D1151A">
            <w:pPr>
              <w:spacing w:after="0" w:line="240" w:lineRule="auto"/>
              <w:jc w:val="center"/>
              <w:rPr>
                <w:rFonts w:eastAsia="Times New Roman" w:cs="Arial"/>
              </w:rPr>
            </w:pPr>
            <w:r w:rsidRPr="00692B8F">
              <w:rPr>
                <w:rFonts w:eastAsia="Times New Roman" w:cs="Arial"/>
                <w:b/>
                <w:bCs/>
                <w:color w:val="FFFFFF" w:themeColor="light1"/>
                <w:kern w:val="24"/>
              </w:rPr>
              <w:t>(Column J)</w:t>
            </w:r>
          </w:p>
        </w:tc>
      </w:tr>
      <w:tr w:rsidR="00D1151A" w:rsidRPr="00692B8F" w14:paraId="3A072E81" w14:textId="77777777" w:rsidTr="00D1151A">
        <w:trPr>
          <w:trHeight w:val="207"/>
        </w:trPr>
        <w:tc>
          <w:tcPr>
            <w:tcW w:w="5122" w:type="dxa"/>
            <w:tcBorders>
              <w:top w:val="single" w:sz="18" w:space="0" w:color="000000"/>
              <w:left w:val="nil"/>
              <w:bottom w:val="nil"/>
              <w:right w:val="nil"/>
            </w:tcBorders>
            <w:shd w:val="clear" w:color="auto" w:fill="E7E7E7"/>
            <w:tcMar>
              <w:top w:w="72" w:type="dxa"/>
              <w:left w:w="144" w:type="dxa"/>
              <w:bottom w:w="72" w:type="dxa"/>
              <w:right w:w="144" w:type="dxa"/>
            </w:tcMar>
            <w:vAlign w:val="center"/>
            <w:hideMark/>
          </w:tcPr>
          <w:p w14:paraId="31087930" w14:textId="77777777" w:rsidR="00D1151A" w:rsidRPr="00692B8F" w:rsidRDefault="00D1151A" w:rsidP="00D1151A">
            <w:pPr>
              <w:spacing w:after="0" w:line="226" w:lineRule="atLeast"/>
              <w:rPr>
                <w:rFonts w:eastAsia="Times New Roman" w:cs="Arial"/>
              </w:rPr>
            </w:pPr>
            <w:r w:rsidRPr="00692B8F">
              <w:rPr>
                <w:rFonts w:eastAsia="Times New Roman" w:cs="Arial"/>
                <w:color w:val="000000" w:themeColor="dark1"/>
                <w:kern w:val="24"/>
              </w:rPr>
              <w:t>Pure risks (row 28)</w:t>
            </w:r>
          </w:p>
        </w:tc>
        <w:tc>
          <w:tcPr>
            <w:tcW w:w="2185" w:type="dxa"/>
            <w:tcBorders>
              <w:top w:val="single" w:sz="18" w:space="0" w:color="000000"/>
              <w:left w:val="nil"/>
              <w:bottom w:val="nil"/>
              <w:right w:val="nil"/>
            </w:tcBorders>
            <w:shd w:val="clear" w:color="auto" w:fill="E7E7E7"/>
            <w:tcMar>
              <w:top w:w="20" w:type="dxa"/>
              <w:left w:w="20" w:type="dxa"/>
              <w:bottom w:w="0" w:type="dxa"/>
              <w:right w:w="20" w:type="dxa"/>
            </w:tcMar>
            <w:vAlign w:val="center"/>
            <w:hideMark/>
          </w:tcPr>
          <w:p w14:paraId="2D1DF1F7" w14:textId="16A63331" w:rsidR="00D1151A" w:rsidRPr="002F4CB8" w:rsidRDefault="00CE40BC" w:rsidP="003769D0">
            <w:pPr>
              <w:spacing w:after="0" w:line="240" w:lineRule="auto"/>
              <w:jc w:val="center"/>
              <w:rPr>
                <w:rFonts w:eastAsia="Times New Roman" w:cs="Arial"/>
                <w:b/>
                <w:color w:val="FF0000"/>
              </w:rPr>
            </w:pPr>
            <w:r w:rsidRPr="002F4CB8">
              <w:rPr>
                <w:rFonts w:eastAsia="Times New Roman" w:cs="Arial"/>
                <w:b/>
                <w:color w:val="FF0000"/>
              </w:rPr>
              <w:t>52</w:t>
            </w:r>
          </w:p>
        </w:tc>
        <w:tc>
          <w:tcPr>
            <w:tcW w:w="2185" w:type="dxa"/>
            <w:tcBorders>
              <w:top w:val="single" w:sz="18" w:space="0" w:color="000000"/>
              <w:left w:val="nil"/>
              <w:bottom w:val="nil"/>
              <w:right w:val="nil"/>
            </w:tcBorders>
            <w:shd w:val="clear" w:color="auto" w:fill="E7E7E7"/>
            <w:tcMar>
              <w:top w:w="20" w:type="dxa"/>
              <w:left w:w="20" w:type="dxa"/>
              <w:bottom w:w="0" w:type="dxa"/>
              <w:right w:w="20" w:type="dxa"/>
            </w:tcMar>
            <w:vAlign w:val="center"/>
            <w:hideMark/>
          </w:tcPr>
          <w:p w14:paraId="70D86E2A" w14:textId="292FC4CC" w:rsidR="00D1151A" w:rsidRPr="002F4CB8" w:rsidRDefault="00CE40BC" w:rsidP="003769D0">
            <w:pPr>
              <w:spacing w:after="0" w:line="240" w:lineRule="auto"/>
              <w:jc w:val="center"/>
              <w:rPr>
                <w:rFonts w:eastAsia="Times New Roman" w:cs="Arial"/>
                <w:b/>
                <w:color w:val="FF0000"/>
              </w:rPr>
            </w:pPr>
            <w:r w:rsidRPr="002F4CB8">
              <w:rPr>
                <w:rFonts w:eastAsia="Times New Roman" w:cs="Arial"/>
                <w:b/>
                <w:color w:val="FF0000"/>
              </w:rPr>
              <w:t>62</w:t>
            </w:r>
          </w:p>
        </w:tc>
      </w:tr>
      <w:tr w:rsidR="00D1151A" w:rsidRPr="00692B8F" w14:paraId="586261AD" w14:textId="77777777" w:rsidTr="00D1151A">
        <w:trPr>
          <w:trHeight w:val="196"/>
        </w:trPr>
        <w:tc>
          <w:tcPr>
            <w:tcW w:w="5122" w:type="dxa"/>
            <w:tcBorders>
              <w:top w:val="nil"/>
              <w:left w:val="nil"/>
              <w:bottom w:val="nil"/>
              <w:right w:val="nil"/>
            </w:tcBorders>
            <w:shd w:val="clear" w:color="auto" w:fill="auto"/>
            <w:tcMar>
              <w:top w:w="72" w:type="dxa"/>
              <w:left w:w="144" w:type="dxa"/>
              <w:bottom w:w="72" w:type="dxa"/>
              <w:right w:w="144" w:type="dxa"/>
            </w:tcMar>
            <w:vAlign w:val="center"/>
            <w:hideMark/>
          </w:tcPr>
          <w:p w14:paraId="408FDE42" w14:textId="77777777" w:rsidR="00D1151A" w:rsidRPr="00692B8F" w:rsidRDefault="00D1151A" w:rsidP="00D1151A">
            <w:pPr>
              <w:spacing w:after="0" w:line="214" w:lineRule="atLeast"/>
              <w:rPr>
                <w:rFonts w:eastAsia="Times New Roman" w:cs="Arial"/>
              </w:rPr>
            </w:pPr>
            <w:r w:rsidRPr="00692B8F">
              <w:rPr>
                <w:rFonts w:eastAsia="Times New Roman" w:cs="Arial"/>
                <w:color w:val="000000" w:themeColor="dark1"/>
                <w:kern w:val="24"/>
              </w:rPr>
              <w:t>Base variability (row 34)</w:t>
            </w:r>
          </w:p>
        </w:tc>
        <w:tc>
          <w:tcPr>
            <w:tcW w:w="2185" w:type="dxa"/>
            <w:tcBorders>
              <w:top w:val="nil"/>
              <w:left w:val="nil"/>
              <w:bottom w:val="nil"/>
              <w:right w:val="nil"/>
            </w:tcBorders>
            <w:shd w:val="clear" w:color="auto" w:fill="auto"/>
            <w:tcMar>
              <w:top w:w="20" w:type="dxa"/>
              <w:left w:w="20" w:type="dxa"/>
              <w:bottom w:w="0" w:type="dxa"/>
              <w:right w:w="20" w:type="dxa"/>
            </w:tcMar>
            <w:vAlign w:val="center"/>
            <w:hideMark/>
          </w:tcPr>
          <w:p w14:paraId="6A4E6A2F" w14:textId="3179F8EF" w:rsidR="00D1151A" w:rsidRPr="002F4CB8" w:rsidRDefault="00CE40BC" w:rsidP="003769D0">
            <w:pPr>
              <w:spacing w:after="0" w:line="240" w:lineRule="auto"/>
              <w:jc w:val="center"/>
              <w:rPr>
                <w:rFonts w:eastAsia="Times New Roman" w:cs="Arial"/>
                <w:b/>
                <w:color w:val="FF0000"/>
              </w:rPr>
            </w:pPr>
            <w:r w:rsidRPr="002F4CB8">
              <w:rPr>
                <w:rFonts w:eastAsia="Times New Roman" w:cs="Arial"/>
                <w:b/>
                <w:color w:val="FF0000"/>
              </w:rPr>
              <w:t>63</w:t>
            </w:r>
          </w:p>
        </w:tc>
        <w:tc>
          <w:tcPr>
            <w:tcW w:w="2185" w:type="dxa"/>
            <w:tcBorders>
              <w:top w:val="nil"/>
              <w:left w:val="nil"/>
              <w:bottom w:val="nil"/>
              <w:right w:val="nil"/>
            </w:tcBorders>
            <w:shd w:val="clear" w:color="auto" w:fill="auto"/>
            <w:tcMar>
              <w:top w:w="20" w:type="dxa"/>
              <w:left w:w="20" w:type="dxa"/>
              <w:bottom w:w="0" w:type="dxa"/>
              <w:right w:w="20" w:type="dxa"/>
            </w:tcMar>
            <w:vAlign w:val="center"/>
            <w:hideMark/>
          </w:tcPr>
          <w:p w14:paraId="5D4C6F9A" w14:textId="359E0F23" w:rsidR="00D1151A" w:rsidRPr="002F4CB8" w:rsidRDefault="00CE40BC" w:rsidP="003769D0">
            <w:pPr>
              <w:spacing w:after="0" w:line="240" w:lineRule="auto"/>
              <w:jc w:val="center"/>
              <w:rPr>
                <w:rFonts w:eastAsia="Times New Roman" w:cs="Arial"/>
                <w:b/>
                <w:color w:val="FF0000"/>
              </w:rPr>
            </w:pPr>
            <w:r w:rsidRPr="002F4CB8">
              <w:rPr>
                <w:rFonts w:eastAsia="Times New Roman" w:cs="Arial"/>
                <w:b/>
                <w:color w:val="FF0000"/>
              </w:rPr>
              <w:t>74</w:t>
            </w:r>
          </w:p>
        </w:tc>
      </w:tr>
      <w:tr w:rsidR="00D1151A" w:rsidRPr="00692B8F" w14:paraId="040D64CA" w14:textId="77777777" w:rsidTr="00D1151A">
        <w:trPr>
          <w:trHeight w:val="234"/>
        </w:trPr>
        <w:tc>
          <w:tcPr>
            <w:tcW w:w="5122" w:type="dxa"/>
            <w:tcBorders>
              <w:top w:val="nil"/>
              <w:left w:val="nil"/>
              <w:bottom w:val="double" w:sz="12" w:space="0" w:color="000000"/>
              <w:right w:val="nil"/>
            </w:tcBorders>
            <w:shd w:val="clear" w:color="auto" w:fill="E7E7E7"/>
            <w:tcMar>
              <w:top w:w="72" w:type="dxa"/>
              <w:left w:w="144" w:type="dxa"/>
              <w:bottom w:w="72" w:type="dxa"/>
              <w:right w:w="144" w:type="dxa"/>
            </w:tcMar>
            <w:vAlign w:val="center"/>
            <w:hideMark/>
          </w:tcPr>
          <w:p w14:paraId="514A17EB" w14:textId="77777777" w:rsidR="00D1151A" w:rsidRPr="00692B8F" w:rsidRDefault="00D1151A" w:rsidP="00D1151A">
            <w:pPr>
              <w:spacing w:after="0" w:line="216" w:lineRule="auto"/>
              <w:rPr>
                <w:rFonts w:eastAsia="Times New Roman" w:cs="Arial"/>
              </w:rPr>
            </w:pPr>
            <w:r w:rsidRPr="00692B8F">
              <w:rPr>
                <w:rFonts w:eastAsia="Times New Roman" w:cs="Arial"/>
                <w:color w:val="000000" w:themeColor="dark1"/>
                <w:kern w:val="24"/>
              </w:rPr>
              <w:t>Lifecycle performance risk premium (row 36)</w:t>
            </w:r>
          </w:p>
        </w:tc>
        <w:tc>
          <w:tcPr>
            <w:tcW w:w="2185" w:type="dxa"/>
            <w:tcBorders>
              <w:top w:val="nil"/>
              <w:left w:val="nil"/>
              <w:bottom w:val="double" w:sz="12" w:space="0" w:color="000000"/>
              <w:right w:val="nil"/>
            </w:tcBorders>
            <w:shd w:val="clear" w:color="auto" w:fill="E7E7E7"/>
            <w:tcMar>
              <w:top w:w="20" w:type="dxa"/>
              <w:left w:w="20" w:type="dxa"/>
              <w:bottom w:w="0" w:type="dxa"/>
              <w:right w:w="20" w:type="dxa"/>
            </w:tcMar>
            <w:vAlign w:val="center"/>
            <w:hideMark/>
          </w:tcPr>
          <w:p w14:paraId="228465B2" w14:textId="65137B17" w:rsidR="00D1151A" w:rsidRPr="002F4CB8" w:rsidRDefault="00CE40BC" w:rsidP="003769D0">
            <w:pPr>
              <w:spacing w:after="0" w:line="240" w:lineRule="auto"/>
              <w:jc w:val="center"/>
              <w:rPr>
                <w:rFonts w:eastAsia="Times New Roman" w:cs="Arial"/>
                <w:b/>
                <w:color w:val="FF0000"/>
              </w:rPr>
            </w:pPr>
            <w:r w:rsidRPr="002F4CB8">
              <w:rPr>
                <w:rFonts w:eastAsia="Times New Roman" w:cs="Arial"/>
                <w:b/>
                <w:color w:val="FF0000"/>
              </w:rPr>
              <w:t>147</w:t>
            </w:r>
          </w:p>
        </w:tc>
        <w:tc>
          <w:tcPr>
            <w:tcW w:w="2185" w:type="dxa"/>
            <w:tcBorders>
              <w:top w:val="nil"/>
              <w:left w:val="nil"/>
              <w:bottom w:val="double" w:sz="12" w:space="0" w:color="000000"/>
              <w:right w:val="nil"/>
            </w:tcBorders>
            <w:shd w:val="clear" w:color="auto" w:fill="E7E7E7"/>
            <w:tcMar>
              <w:top w:w="20" w:type="dxa"/>
              <w:left w:w="20" w:type="dxa"/>
              <w:bottom w:w="0" w:type="dxa"/>
              <w:right w:w="20" w:type="dxa"/>
            </w:tcMar>
            <w:vAlign w:val="center"/>
            <w:hideMark/>
          </w:tcPr>
          <w:p w14:paraId="4C3E108A" w14:textId="3765FF77" w:rsidR="00D1151A" w:rsidRPr="002F4CB8" w:rsidRDefault="00CE40BC" w:rsidP="003769D0">
            <w:pPr>
              <w:spacing w:after="0" w:line="240" w:lineRule="auto"/>
              <w:jc w:val="center"/>
              <w:rPr>
                <w:rFonts w:eastAsia="Times New Roman" w:cs="Arial"/>
                <w:b/>
                <w:color w:val="FF0000"/>
              </w:rPr>
            </w:pPr>
            <w:r w:rsidRPr="002F4CB8">
              <w:rPr>
                <w:rFonts w:eastAsia="Times New Roman" w:cs="Arial"/>
                <w:b/>
                <w:color w:val="FF0000"/>
              </w:rPr>
              <w:t>185</w:t>
            </w:r>
          </w:p>
        </w:tc>
      </w:tr>
      <w:tr w:rsidR="00D1151A" w:rsidRPr="00692B8F" w14:paraId="0EAE2C16" w14:textId="77777777" w:rsidTr="00D1151A">
        <w:trPr>
          <w:trHeight w:val="206"/>
        </w:trPr>
        <w:tc>
          <w:tcPr>
            <w:tcW w:w="5122" w:type="dxa"/>
            <w:tcBorders>
              <w:top w:val="double" w:sz="12" w:space="0" w:color="000000"/>
              <w:left w:val="nil"/>
              <w:bottom w:val="single" w:sz="18" w:space="0" w:color="000000"/>
              <w:right w:val="nil"/>
            </w:tcBorders>
            <w:shd w:val="clear" w:color="auto" w:fill="auto"/>
            <w:tcMar>
              <w:top w:w="72" w:type="dxa"/>
              <w:left w:w="144" w:type="dxa"/>
              <w:bottom w:w="72" w:type="dxa"/>
              <w:right w:w="144" w:type="dxa"/>
            </w:tcMar>
            <w:vAlign w:val="center"/>
            <w:hideMark/>
          </w:tcPr>
          <w:p w14:paraId="10E04704" w14:textId="289D9E9A" w:rsidR="00D1151A" w:rsidRPr="00692B8F" w:rsidRDefault="00D1151A" w:rsidP="00D1151A">
            <w:pPr>
              <w:spacing w:after="0" w:line="224" w:lineRule="atLeast"/>
              <w:rPr>
                <w:rFonts w:eastAsia="Times New Roman" w:cs="Arial"/>
              </w:rPr>
            </w:pPr>
            <w:r w:rsidRPr="00692B8F">
              <w:rPr>
                <w:rFonts w:eastAsia="Times New Roman" w:cs="Arial"/>
                <w:b/>
                <w:bCs/>
                <w:color w:val="000000" w:themeColor="dark1"/>
                <w:kern w:val="24"/>
              </w:rPr>
              <w:t>Total risks</w:t>
            </w:r>
            <w:r w:rsidR="00CE40BC">
              <w:rPr>
                <w:rFonts w:eastAsia="Times New Roman" w:cs="Arial"/>
                <w:b/>
                <w:bCs/>
                <w:color w:val="000000" w:themeColor="dark1"/>
                <w:kern w:val="24"/>
              </w:rPr>
              <w:t xml:space="preserve"> (row 38)</w:t>
            </w:r>
          </w:p>
        </w:tc>
        <w:tc>
          <w:tcPr>
            <w:tcW w:w="2185" w:type="dxa"/>
            <w:tcBorders>
              <w:top w:val="double" w:sz="12" w:space="0" w:color="000000"/>
              <w:left w:val="nil"/>
              <w:bottom w:val="single" w:sz="18" w:space="0" w:color="000000"/>
              <w:right w:val="nil"/>
            </w:tcBorders>
            <w:shd w:val="clear" w:color="auto" w:fill="auto"/>
            <w:tcMar>
              <w:top w:w="20" w:type="dxa"/>
              <w:left w:w="20" w:type="dxa"/>
              <w:bottom w:w="0" w:type="dxa"/>
              <w:right w:w="20" w:type="dxa"/>
            </w:tcMar>
            <w:vAlign w:val="center"/>
            <w:hideMark/>
          </w:tcPr>
          <w:p w14:paraId="07112FAF" w14:textId="12E00F07" w:rsidR="00D1151A" w:rsidRPr="002F4CB8" w:rsidRDefault="006C6DCD" w:rsidP="003769D0">
            <w:pPr>
              <w:spacing w:after="0" w:line="240" w:lineRule="auto"/>
              <w:jc w:val="center"/>
              <w:rPr>
                <w:rFonts w:eastAsia="Times New Roman" w:cs="Arial"/>
                <w:b/>
                <w:color w:val="FF0000"/>
              </w:rPr>
            </w:pPr>
            <w:r w:rsidRPr="002F4CB8">
              <w:rPr>
                <w:rFonts w:eastAsia="Times New Roman" w:cs="Arial"/>
                <w:b/>
                <w:color w:val="FF0000"/>
              </w:rPr>
              <w:t>262</w:t>
            </w:r>
          </w:p>
        </w:tc>
        <w:tc>
          <w:tcPr>
            <w:tcW w:w="2185" w:type="dxa"/>
            <w:tcBorders>
              <w:top w:val="double" w:sz="12" w:space="0" w:color="000000"/>
              <w:left w:val="nil"/>
              <w:bottom w:val="single" w:sz="18" w:space="0" w:color="000000"/>
              <w:right w:val="nil"/>
            </w:tcBorders>
            <w:shd w:val="clear" w:color="auto" w:fill="auto"/>
            <w:tcMar>
              <w:top w:w="20" w:type="dxa"/>
              <w:left w:w="20" w:type="dxa"/>
              <w:bottom w:w="0" w:type="dxa"/>
              <w:right w:w="20" w:type="dxa"/>
            </w:tcMar>
            <w:vAlign w:val="center"/>
            <w:hideMark/>
          </w:tcPr>
          <w:p w14:paraId="395F0E23" w14:textId="38AD309F" w:rsidR="00D1151A" w:rsidRPr="002F4CB8" w:rsidRDefault="006C6DCD" w:rsidP="003769D0">
            <w:pPr>
              <w:spacing w:after="0" w:line="240" w:lineRule="auto"/>
              <w:jc w:val="center"/>
              <w:rPr>
                <w:rFonts w:eastAsia="Times New Roman" w:cs="Arial"/>
                <w:b/>
                <w:color w:val="FF0000"/>
              </w:rPr>
            </w:pPr>
            <w:r w:rsidRPr="002F4CB8">
              <w:rPr>
                <w:rFonts w:eastAsia="Times New Roman" w:cs="Arial"/>
                <w:b/>
                <w:color w:val="FF0000"/>
              </w:rPr>
              <w:t>321</w:t>
            </w:r>
          </w:p>
        </w:tc>
      </w:tr>
    </w:tbl>
    <w:p w14:paraId="2E140453" w14:textId="77777777" w:rsidR="00D1151A" w:rsidRDefault="00D1151A" w:rsidP="00205C7D"/>
    <w:p w14:paraId="34F3B18A" w14:textId="397A6B0E" w:rsidR="00205C7D" w:rsidRPr="002066E5" w:rsidRDefault="00205C7D" w:rsidP="00205C7D">
      <w:r w:rsidRPr="002066E5">
        <w:t>Below, please res</w:t>
      </w:r>
      <w:r>
        <w:t>pond to the following questions</w:t>
      </w:r>
      <w:r w:rsidR="006C6DCD">
        <w:t xml:space="preserve"> (</w:t>
      </w:r>
      <w:r>
        <w:t>we will also discuss them at the webinar</w:t>
      </w:r>
      <w:r w:rsidR="006C6DCD">
        <w:t>)</w:t>
      </w:r>
      <w:r w:rsidRPr="002066E5">
        <w:t>:</w:t>
      </w:r>
    </w:p>
    <w:p w14:paraId="4C31CB4D" w14:textId="56FEAE2E" w:rsidR="003E5960" w:rsidRDefault="0042183E" w:rsidP="002F4CB8">
      <w:pPr>
        <w:numPr>
          <w:ilvl w:val="0"/>
          <w:numId w:val="25"/>
        </w:numPr>
        <w:tabs>
          <w:tab w:val="clear" w:pos="720"/>
          <w:tab w:val="num" w:pos="360"/>
        </w:tabs>
        <w:ind w:left="360"/>
        <w:rPr>
          <w:iCs/>
        </w:rPr>
      </w:pPr>
      <w:r w:rsidRPr="00D1151A">
        <w:rPr>
          <w:iCs/>
        </w:rPr>
        <w:t xml:space="preserve">Why </w:t>
      </w:r>
      <w:proofErr w:type="gramStart"/>
      <w:r w:rsidRPr="00D1151A">
        <w:rPr>
          <w:iCs/>
        </w:rPr>
        <w:t>are</w:t>
      </w:r>
      <w:proofErr w:type="gramEnd"/>
      <w:r w:rsidRPr="00D1151A">
        <w:rPr>
          <w:iCs/>
        </w:rPr>
        <w:t xml:space="preserve"> revenue risks not </w:t>
      </w:r>
      <w:r w:rsidR="00692B8F">
        <w:rPr>
          <w:iCs/>
        </w:rPr>
        <w:t>included</w:t>
      </w:r>
      <w:r w:rsidRPr="00D1151A">
        <w:rPr>
          <w:iCs/>
        </w:rPr>
        <w:t xml:space="preserve"> in the table?</w:t>
      </w:r>
    </w:p>
    <w:p w14:paraId="7FBEA894" w14:textId="59C42AB2" w:rsidR="007E1529" w:rsidRPr="00D1151A" w:rsidRDefault="006C6DCD" w:rsidP="002F4CB8">
      <w:pPr>
        <w:ind w:left="360"/>
        <w:rPr>
          <w:iCs/>
        </w:rPr>
      </w:pPr>
      <w:r w:rsidRPr="002F4CB8">
        <w:rPr>
          <w:b/>
          <w:iCs/>
          <w:color w:val="FF0000"/>
        </w:rPr>
        <w:t xml:space="preserve">Revenue risks are not included because </w:t>
      </w:r>
      <w:r w:rsidR="007E1D90" w:rsidRPr="002F4CB8">
        <w:rPr>
          <w:b/>
          <w:iCs/>
          <w:color w:val="FF0000"/>
        </w:rPr>
        <w:t xml:space="preserve">revenues are an economic transfer, and therefore not considered in benefit-cost analysis. (However, </w:t>
      </w:r>
      <w:r w:rsidRPr="002F4CB8">
        <w:rPr>
          <w:b/>
          <w:iCs/>
          <w:color w:val="FF0000"/>
        </w:rPr>
        <w:t xml:space="preserve">they are considered </w:t>
      </w:r>
      <w:r w:rsidR="007E1D90" w:rsidRPr="002F4CB8">
        <w:rPr>
          <w:b/>
          <w:iCs/>
          <w:color w:val="FF0000"/>
        </w:rPr>
        <w:t>in conducting</w:t>
      </w:r>
      <w:r w:rsidRPr="002F4CB8">
        <w:rPr>
          <w:b/>
          <w:iCs/>
          <w:color w:val="FF0000"/>
        </w:rPr>
        <w:t xml:space="preserve"> the VfM analysis</w:t>
      </w:r>
      <w:r w:rsidR="007E1D90" w:rsidRPr="002F4CB8">
        <w:rPr>
          <w:b/>
          <w:iCs/>
          <w:color w:val="FF0000"/>
        </w:rPr>
        <w:t>, which is a financial analysis)</w:t>
      </w:r>
      <w:r w:rsidRPr="002F4CB8">
        <w:rPr>
          <w:b/>
          <w:iCs/>
          <w:color w:val="FF0000"/>
        </w:rPr>
        <w:t>.</w:t>
      </w:r>
    </w:p>
    <w:p w14:paraId="2D5115DA" w14:textId="28F7A09C" w:rsidR="003E5960" w:rsidRDefault="0042183E" w:rsidP="002F4CB8">
      <w:pPr>
        <w:numPr>
          <w:ilvl w:val="0"/>
          <w:numId w:val="25"/>
        </w:numPr>
        <w:tabs>
          <w:tab w:val="clear" w:pos="720"/>
          <w:tab w:val="num" w:pos="360"/>
        </w:tabs>
        <w:ind w:left="360"/>
        <w:rPr>
          <w:iCs/>
        </w:rPr>
      </w:pPr>
      <w:r w:rsidRPr="00D1151A">
        <w:rPr>
          <w:iCs/>
        </w:rPr>
        <w:lastRenderedPageBreak/>
        <w:t xml:space="preserve">Why are the values higher under </w:t>
      </w:r>
      <w:r w:rsidR="00692B8F">
        <w:rPr>
          <w:iCs/>
        </w:rPr>
        <w:t>C</w:t>
      </w:r>
      <w:r w:rsidRPr="00D1151A">
        <w:rPr>
          <w:iCs/>
        </w:rPr>
        <w:t xml:space="preserve">onventional </w:t>
      </w:r>
      <w:r w:rsidR="00692B8F">
        <w:rPr>
          <w:iCs/>
        </w:rPr>
        <w:t>D</w:t>
      </w:r>
      <w:r w:rsidRPr="00D1151A">
        <w:rPr>
          <w:iCs/>
        </w:rPr>
        <w:t>elivery</w:t>
      </w:r>
      <w:r w:rsidR="00692B8F">
        <w:rPr>
          <w:iCs/>
        </w:rPr>
        <w:t xml:space="preserve"> than under Delayed Conventional Delivery</w:t>
      </w:r>
      <w:r w:rsidRPr="00D1151A">
        <w:rPr>
          <w:iCs/>
        </w:rPr>
        <w:t>?</w:t>
      </w:r>
    </w:p>
    <w:p w14:paraId="2978E17E" w14:textId="55A6C787" w:rsidR="007E1529" w:rsidRPr="00D1151A" w:rsidRDefault="006C6DCD" w:rsidP="002F4CB8">
      <w:pPr>
        <w:ind w:left="360"/>
        <w:rPr>
          <w:iCs/>
        </w:rPr>
      </w:pPr>
      <w:r w:rsidRPr="002F4CB8">
        <w:rPr>
          <w:b/>
          <w:iCs/>
          <w:color w:val="FF0000"/>
        </w:rPr>
        <w:t xml:space="preserve">Risks are higher because starting a project today </w:t>
      </w:r>
      <w:r w:rsidR="007E1D90" w:rsidRPr="002F4CB8">
        <w:rPr>
          <w:b/>
          <w:iCs/>
          <w:color w:val="FF0000"/>
        </w:rPr>
        <w:t xml:space="preserve">increases the present values of costs and risks incurred in the design-build phase, relative to </w:t>
      </w:r>
      <w:r w:rsidRPr="002F4CB8">
        <w:rPr>
          <w:b/>
          <w:iCs/>
          <w:color w:val="FF0000"/>
        </w:rPr>
        <w:t xml:space="preserve">starting </w:t>
      </w:r>
      <w:r w:rsidR="007E1D90" w:rsidRPr="002F4CB8">
        <w:rPr>
          <w:b/>
          <w:iCs/>
          <w:color w:val="FF0000"/>
        </w:rPr>
        <w:t xml:space="preserve">the same </w:t>
      </w:r>
      <w:r w:rsidRPr="002F4CB8">
        <w:rPr>
          <w:b/>
          <w:iCs/>
          <w:color w:val="FF0000"/>
        </w:rPr>
        <w:t xml:space="preserve">project in the future. </w:t>
      </w:r>
      <w:r w:rsidR="007E1D90" w:rsidRPr="002F4CB8">
        <w:rPr>
          <w:b/>
          <w:iCs/>
          <w:color w:val="FF0000"/>
        </w:rPr>
        <w:t xml:space="preserve">Also, there </w:t>
      </w:r>
      <w:r w:rsidRPr="002F4CB8">
        <w:rPr>
          <w:b/>
          <w:iCs/>
          <w:color w:val="FF0000"/>
        </w:rPr>
        <w:t>are more years of operations, which results in a higher value of risks</w:t>
      </w:r>
      <w:r w:rsidR="007E1D90" w:rsidRPr="002F4CB8">
        <w:rPr>
          <w:b/>
          <w:iCs/>
          <w:color w:val="FF0000"/>
        </w:rPr>
        <w:t xml:space="preserve"> in the operations phase</w:t>
      </w:r>
      <w:r w:rsidRPr="002F4CB8">
        <w:rPr>
          <w:b/>
          <w:iCs/>
          <w:color w:val="FF0000"/>
        </w:rPr>
        <w:t>.</w:t>
      </w:r>
    </w:p>
    <w:p w14:paraId="36F9DE37" w14:textId="15644839" w:rsidR="00D1151A" w:rsidRPr="00D1151A" w:rsidRDefault="00D1151A" w:rsidP="00D1151A">
      <w:r w:rsidRPr="00D1151A">
        <w:rPr>
          <w:iCs/>
        </w:rPr>
        <w:t xml:space="preserve">Review and record below the </w:t>
      </w:r>
      <w:r w:rsidR="007E1529">
        <w:rPr>
          <w:iCs/>
        </w:rPr>
        <w:t xml:space="preserve">present values of risks under </w:t>
      </w:r>
      <w:r w:rsidRPr="00D1151A">
        <w:rPr>
          <w:iCs/>
        </w:rPr>
        <w:t xml:space="preserve">Conventional Delivery and P3 for PDBCA (see </w:t>
      </w:r>
      <w:r w:rsidRPr="007E1529">
        <w:rPr>
          <w:b/>
          <w:bCs/>
          <w:i/>
          <w:iCs/>
        </w:rPr>
        <w:t>Risk Output for PDBCA</w:t>
      </w:r>
      <w:r w:rsidRPr="00D1151A">
        <w:rPr>
          <w:b/>
          <w:bCs/>
          <w:iCs/>
        </w:rPr>
        <w:t xml:space="preserve"> </w:t>
      </w:r>
      <w:r w:rsidRPr="00D1151A">
        <w:rPr>
          <w:iCs/>
        </w:rPr>
        <w:t>sheet)</w:t>
      </w:r>
    </w:p>
    <w:tbl>
      <w:tblPr>
        <w:tblW w:w="9716" w:type="dxa"/>
        <w:tblCellMar>
          <w:left w:w="0" w:type="dxa"/>
          <w:right w:w="0" w:type="dxa"/>
        </w:tblCellMar>
        <w:tblLook w:val="0460" w:firstRow="1" w:lastRow="1" w:firstColumn="0" w:lastColumn="0" w:noHBand="0" w:noVBand="1"/>
      </w:tblPr>
      <w:tblGrid>
        <w:gridCol w:w="5244"/>
        <w:gridCol w:w="2236"/>
        <w:gridCol w:w="2236"/>
      </w:tblGrid>
      <w:tr w:rsidR="00D1151A" w:rsidRPr="00D1151A" w14:paraId="1A65BF2A" w14:textId="77777777" w:rsidTr="00D1151A">
        <w:trPr>
          <w:trHeight w:val="1986"/>
        </w:trPr>
        <w:tc>
          <w:tcPr>
            <w:tcW w:w="5244" w:type="dxa"/>
            <w:tcBorders>
              <w:top w:val="single" w:sz="18" w:space="0" w:color="000000"/>
              <w:left w:val="nil"/>
              <w:bottom w:val="single" w:sz="18" w:space="0" w:color="000000"/>
              <w:right w:val="nil"/>
            </w:tcBorders>
            <w:shd w:val="clear" w:color="auto" w:fill="B470A3"/>
            <w:tcMar>
              <w:top w:w="72" w:type="dxa"/>
              <w:left w:w="177" w:type="dxa"/>
              <w:bottom w:w="72" w:type="dxa"/>
              <w:right w:w="177" w:type="dxa"/>
            </w:tcMar>
            <w:vAlign w:val="center"/>
            <w:hideMark/>
          </w:tcPr>
          <w:p w14:paraId="7CE6DB7A" w14:textId="77777777" w:rsidR="00D1151A" w:rsidRPr="007E1529" w:rsidRDefault="00D1151A" w:rsidP="00D1151A">
            <w:pPr>
              <w:spacing w:after="0" w:line="240" w:lineRule="auto"/>
              <w:rPr>
                <w:rFonts w:eastAsia="Times New Roman" w:cs="Arial"/>
              </w:rPr>
            </w:pPr>
            <w:r w:rsidRPr="007E1529">
              <w:rPr>
                <w:rFonts w:eastAsia="Times New Roman" w:cs="Arial"/>
                <w:b/>
                <w:bCs/>
                <w:color w:val="FFFFFF" w:themeColor="light1"/>
                <w:kern w:val="24"/>
              </w:rPr>
              <w:t>Item</w:t>
            </w:r>
          </w:p>
        </w:tc>
        <w:tc>
          <w:tcPr>
            <w:tcW w:w="2236" w:type="dxa"/>
            <w:tcBorders>
              <w:top w:val="single" w:sz="18" w:space="0" w:color="000000"/>
              <w:left w:val="nil"/>
              <w:bottom w:val="single" w:sz="18" w:space="0" w:color="000000"/>
              <w:right w:val="nil"/>
            </w:tcBorders>
            <w:shd w:val="clear" w:color="auto" w:fill="B470A3"/>
            <w:tcMar>
              <w:top w:w="72" w:type="dxa"/>
              <w:left w:w="177" w:type="dxa"/>
              <w:bottom w:w="72" w:type="dxa"/>
              <w:right w:w="177" w:type="dxa"/>
            </w:tcMar>
            <w:vAlign w:val="center"/>
            <w:hideMark/>
          </w:tcPr>
          <w:p w14:paraId="3F7EE130" w14:textId="77777777" w:rsidR="00D1151A" w:rsidRPr="007E1529" w:rsidRDefault="00D1151A" w:rsidP="00D1151A">
            <w:pPr>
              <w:spacing w:after="0" w:line="240" w:lineRule="auto"/>
              <w:jc w:val="center"/>
              <w:rPr>
                <w:rFonts w:eastAsia="Times New Roman" w:cs="Arial"/>
              </w:rPr>
            </w:pPr>
            <w:r w:rsidRPr="007E1529">
              <w:rPr>
                <w:rFonts w:eastAsia="Times New Roman" w:cs="Arial"/>
                <w:b/>
                <w:bCs/>
                <w:color w:val="FFFFFF" w:themeColor="light1"/>
                <w:kern w:val="24"/>
              </w:rPr>
              <w:t>Conventional Delivery Risk values NPV @ 3.00% ($M) for PDBCA</w:t>
            </w:r>
          </w:p>
          <w:p w14:paraId="0191D0AC" w14:textId="77777777" w:rsidR="00D1151A" w:rsidRPr="007E1529" w:rsidRDefault="00D1151A" w:rsidP="00D1151A">
            <w:pPr>
              <w:spacing w:after="0" w:line="240" w:lineRule="auto"/>
              <w:jc w:val="center"/>
              <w:rPr>
                <w:rFonts w:eastAsia="Times New Roman" w:cs="Arial"/>
              </w:rPr>
            </w:pPr>
            <w:r w:rsidRPr="007E1529">
              <w:rPr>
                <w:rFonts w:eastAsia="Times New Roman" w:cs="Arial"/>
                <w:b/>
                <w:bCs/>
                <w:color w:val="FFFFFF" w:themeColor="light1"/>
                <w:kern w:val="24"/>
              </w:rPr>
              <w:t>(Column J)</w:t>
            </w:r>
          </w:p>
        </w:tc>
        <w:tc>
          <w:tcPr>
            <w:tcW w:w="2236" w:type="dxa"/>
            <w:tcBorders>
              <w:top w:val="single" w:sz="18" w:space="0" w:color="000000"/>
              <w:left w:val="nil"/>
              <w:bottom w:val="single" w:sz="18" w:space="0" w:color="000000"/>
              <w:right w:val="nil"/>
            </w:tcBorders>
            <w:shd w:val="clear" w:color="auto" w:fill="B470A3"/>
            <w:tcMar>
              <w:top w:w="72" w:type="dxa"/>
              <w:left w:w="177" w:type="dxa"/>
              <w:bottom w:w="72" w:type="dxa"/>
              <w:right w:w="177" w:type="dxa"/>
            </w:tcMar>
            <w:vAlign w:val="center"/>
            <w:hideMark/>
          </w:tcPr>
          <w:p w14:paraId="51FF0EFB" w14:textId="77777777" w:rsidR="00D1151A" w:rsidRPr="007E1529" w:rsidRDefault="00D1151A" w:rsidP="00D1151A">
            <w:pPr>
              <w:spacing w:after="0" w:line="240" w:lineRule="auto"/>
              <w:jc w:val="center"/>
              <w:rPr>
                <w:rFonts w:eastAsia="Times New Roman" w:cs="Arial"/>
              </w:rPr>
            </w:pPr>
            <w:r w:rsidRPr="007E1529">
              <w:rPr>
                <w:rFonts w:eastAsia="Times New Roman" w:cs="Arial"/>
                <w:b/>
                <w:bCs/>
                <w:color w:val="FFFFFF" w:themeColor="light1"/>
                <w:kern w:val="24"/>
              </w:rPr>
              <w:t>P3  Risk values NPV @ 3.00% ($M) for PDBCA</w:t>
            </w:r>
          </w:p>
          <w:p w14:paraId="40EE8B60" w14:textId="77777777" w:rsidR="00D1151A" w:rsidRPr="007E1529" w:rsidRDefault="00D1151A" w:rsidP="00D1151A">
            <w:pPr>
              <w:spacing w:after="0" w:line="240" w:lineRule="auto"/>
              <w:jc w:val="center"/>
              <w:rPr>
                <w:rFonts w:eastAsia="Times New Roman" w:cs="Arial"/>
              </w:rPr>
            </w:pPr>
            <w:r w:rsidRPr="007E1529">
              <w:rPr>
                <w:rFonts w:eastAsia="Times New Roman" w:cs="Arial"/>
                <w:b/>
                <w:bCs/>
                <w:color w:val="FFFFFF" w:themeColor="light1"/>
                <w:kern w:val="24"/>
              </w:rPr>
              <w:t>(Column M)</w:t>
            </w:r>
          </w:p>
        </w:tc>
      </w:tr>
      <w:tr w:rsidR="00D1151A" w:rsidRPr="00D1151A" w14:paraId="472FE313" w14:textId="77777777" w:rsidTr="00D1151A">
        <w:trPr>
          <w:trHeight w:val="178"/>
        </w:trPr>
        <w:tc>
          <w:tcPr>
            <w:tcW w:w="5244" w:type="dxa"/>
            <w:tcBorders>
              <w:top w:val="single" w:sz="18" w:space="0" w:color="000000"/>
              <w:left w:val="nil"/>
              <w:bottom w:val="nil"/>
              <w:right w:val="nil"/>
            </w:tcBorders>
            <w:shd w:val="clear" w:color="auto" w:fill="E7E7E7"/>
            <w:tcMar>
              <w:top w:w="72" w:type="dxa"/>
              <w:left w:w="144" w:type="dxa"/>
              <w:bottom w:w="72" w:type="dxa"/>
              <w:right w:w="144" w:type="dxa"/>
            </w:tcMar>
            <w:vAlign w:val="center"/>
            <w:hideMark/>
          </w:tcPr>
          <w:p w14:paraId="4C636734" w14:textId="77777777" w:rsidR="00D1151A" w:rsidRPr="007E1529" w:rsidRDefault="00D1151A" w:rsidP="00D1151A">
            <w:pPr>
              <w:spacing w:after="0" w:line="226" w:lineRule="atLeast"/>
              <w:rPr>
                <w:rFonts w:eastAsia="Times New Roman" w:cs="Arial"/>
              </w:rPr>
            </w:pPr>
            <w:r w:rsidRPr="007E1529">
              <w:rPr>
                <w:rFonts w:eastAsia="Times New Roman" w:cs="Arial"/>
                <w:color w:val="000000" w:themeColor="dark1"/>
                <w:kern w:val="24"/>
              </w:rPr>
              <w:t>Pure risks (row 28)</w:t>
            </w:r>
          </w:p>
        </w:tc>
        <w:tc>
          <w:tcPr>
            <w:tcW w:w="2236" w:type="dxa"/>
            <w:tcBorders>
              <w:top w:val="single" w:sz="18" w:space="0" w:color="000000"/>
              <w:left w:val="nil"/>
              <w:bottom w:val="nil"/>
              <w:right w:val="nil"/>
            </w:tcBorders>
            <w:shd w:val="clear" w:color="auto" w:fill="E7E7E7"/>
            <w:tcMar>
              <w:top w:w="20" w:type="dxa"/>
              <w:left w:w="20" w:type="dxa"/>
              <w:bottom w:w="0" w:type="dxa"/>
              <w:right w:w="20" w:type="dxa"/>
            </w:tcMar>
            <w:vAlign w:val="center"/>
            <w:hideMark/>
          </w:tcPr>
          <w:p w14:paraId="1C7B1188" w14:textId="4D7506D7" w:rsidR="00D1151A" w:rsidRPr="002F4CB8" w:rsidRDefault="006C6DCD" w:rsidP="003769D0">
            <w:pPr>
              <w:spacing w:after="0" w:line="240" w:lineRule="auto"/>
              <w:jc w:val="center"/>
              <w:rPr>
                <w:rFonts w:eastAsia="Times New Roman" w:cs="Arial"/>
                <w:b/>
                <w:color w:val="FF0000"/>
              </w:rPr>
            </w:pPr>
            <w:r w:rsidRPr="002F4CB8">
              <w:rPr>
                <w:rFonts w:eastAsia="Times New Roman" w:cs="Arial"/>
                <w:b/>
                <w:color w:val="FF0000"/>
              </w:rPr>
              <w:t>62</w:t>
            </w:r>
          </w:p>
        </w:tc>
        <w:tc>
          <w:tcPr>
            <w:tcW w:w="2236" w:type="dxa"/>
            <w:tcBorders>
              <w:top w:val="single" w:sz="18" w:space="0" w:color="000000"/>
              <w:left w:val="nil"/>
              <w:bottom w:val="nil"/>
              <w:right w:val="nil"/>
            </w:tcBorders>
            <w:shd w:val="clear" w:color="auto" w:fill="E7E7E7"/>
            <w:tcMar>
              <w:top w:w="20" w:type="dxa"/>
              <w:left w:w="20" w:type="dxa"/>
              <w:bottom w:w="0" w:type="dxa"/>
              <w:right w:w="20" w:type="dxa"/>
            </w:tcMar>
            <w:vAlign w:val="center"/>
            <w:hideMark/>
          </w:tcPr>
          <w:p w14:paraId="385C4781" w14:textId="1D943E13" w:rsidR="00D1151A" w:rsidRPr="002F4CB8" w:rsidRDefault="006C6DCD" w:rsidP="003769D0">
            <w:pPr>
              <w:spacing w:after="0" w:line="240" w:lineRule="auto"/>
              <w:jc w:val="center"/>
              <w:rPr>
                <w:rFonts w:eastAsia="Times New Roman" w:cs="Arial"/>
                <w:b/>
                <w:color w:val="FF0000"/>
              </w:rPr>
            </w:pPr>
            <w:r w:rsidRPr="002F4CB8">
              <w:rPr>
                <w:rFonts w:eastAsia="Times New Roman" w:cs="Arial"/>
                <w:b/>
                <w:color w:val="FF0000"/>
              </w:rPr>
              <w:t>57</w:t>
            </w:r>
          </w:p>
        </w:tc>
      </w:tr>
      <w:tr w:rsidR="00D1151A" w:rsidRPr="00D1151A" w14:paraId="2AB88537" w14:textId="77777777" w:rsidTr="00D1151A">
        <w:trPr>
          <w:trHeight w:val="169"/>
        </w:trPr>
        <w:tc>
          <w:tcPr>
            <w:tcW w:w="5244" w:type="dxa"/>
            <w:tcBorders>
              <w:top w:val="nil"/>
              <w:left w:val="nil"/>
              <w:bottom w:val="nil"/>
              <w:right w:val="nil"/>
            </w:tcBorders>
            <w:shd w:val="clear" w:color="auto" w:fill="auto"/>
            <w:tcMar>
              <w:top w:w="72" w:type="dxa"/>
              <w:left w:w="144" w:type="dxa"/>
              <w:bottom w:w="72" w:type="dxa"/>
              <w:right w:w="144" w:type="dxa"/>
            </w:tcMar>
            <w:vAlign w:val="center"/>
            <w:hideMark/>
          </w:tcPr>
          <w:p w14:paraId="1327271F" w14:textId="77777777" w:rsidR="00D1151A" w:rsidRPr="007E1529" w:rsidRDefault="00D1151A" w:rsidP="00D1151A">
            <w:pPr>
              <w:spacing w:after="0" w:line="214" w:lineRule="atLeast"/>
              <w:rPr>
                <w:rFonts w:eastAsia="Times New Roman" w:cs="Arial"/>
              </w:rPr>
            </w:pPr>
            <w:r w:rsidRPr="007E1529">
              <w:rPr>
                <w:rFonts w:eastAsia="Times New Roman" w:cs="Arial"/>
                <w:color w:val="000000" w:themeColor="dark1"/>
                <w:kern w:val="24"/>
              </w:rPr>
              <w:t>Base variability (row 34)</w:t>
            </w:r>
          </w:p>
        </w:tc>
        <w:tc>
          <w:tcPr>
            <w:tcW w:w="2236" w:type="dxa"/>
            <w:tcBorders>
              <w:top w:val="nil"/>
              <w:left w:val="nil"/>
              <w:bottom w:val="nil"/>
              <w:right w:val="nil"/>
            </w:tcBorders>
            <w:shd w:val="clear" w:color="auto" w:fill="auto"/>
            <w:tcMar>
              <w:top w:w="20" w:type="dxa"/>
              <w:left w:w="20" w:type="dxa"/>
              <w:bottom w:w="0" w:type="dxa"/>
              <w:right w:w="20" w:type="dxa"/>
            </w:tcMar>
            <w:vAlign w:val="center"/>
            <w:hideMark/>
          </w:tcPr>
          <w:p w14:paraId="60149438" w14:textId="5B1E1BD1" w:rsidR="00D1151A" w:rsidRPr="002F4CB8" w:rsidRDefault="006C6DCD" w:rsidP="003769D0">
            <w:pPr>
              <w:spacing w:after="0" w:line="240" w:lineRule="auto"/>
              <w:jc w:val="center"/>
              <w:rPr>
                <w:rFonts w:eastAsia="Times New Roman" w:cs="Arial"/>
                <w:b/>
                <w:color w:val="FF0000"/>
              </w:rPr>
            </w:pPr>
            <w:r w:rsidRPr="002F4CB8">
              <w:rPr>
                <w:rFonts w:eastAsia="Times New Roman" w:cs="Arial"/>
                <w:b/>
                <w:color w:val="FF0000"/>
              </w:rPr>
              <w:t>74</w:t>
            </w:r>
          </w:p>
        </w:tc>
        <w:tc>
          <w:tcPr>
            <w:tcW w:w="2236" w:type="dxa"/>
            <w:tcBorders>
              <w:top w:val="nil"/>
              <w:left w:val="nil"/>
              <w:bottom w:val="nil"/>
              <w:right w:val="nil"/>
            </w:tcBorders>
            <w:shd w:val="clear" w:color="auto" w:fill="auto"/>
            <w:tcMar>
              <w:top w:w="20" w:type="dxa"/>
              <w:left w:w="20" w:type="dxa"/>
              <w:bottom w:w="0" w:type="dxa"/>
              <w:right w:w="20" w:type="dxa"/>
            </w:tcMar>
            <w:vAlign w:val="center"/>
            <w:hideMark/>
          </w:tcPr>
          <w:p w14:paraId="10871EE2" w14:textId="2D1E149E" w:rsidR="00D1151A" w:rsidRPr="002F4CB8" w:rsidRDefault="006C6DCD" w:rsidP="003769D0">
            <w:pPr>
              <w:spacing w:after="0" w:line="240" w:lineRule="auto"/>
              <w:jc w:val="center"/>
              <w:rPr>
                <w:rFonts w:eastAsia="Times New Roman" w:cs="Arial"/>
                <w:b/>
                <w:color w:val="FF0000"/>
              </w:rPr>
            </w:pPr>
            <w:r w:rsidRPr="002F4CB8">
              <w:rPr>
                <w:rFonts w:eastAsia="Times New Roman" w:cs="Arial"/>
                <w:b/>
                <w:color w:val="FF0000"/>
              </w:rPr>
              <w:t>71</w:t>
            </w:r>
          </w:p>
        </w:tc>
      </w:tr>
      <w:tr w:rsidR="00D1151A" w:rsidRPr="00D1151A" w14:paraId="0BE397B0" w14:textId="77777777" w:rsidTr="00D1151A">
        <w:trPr>
          <w:trHeight w:val="201"/>
        </w:trPr>
        <w:tc>
          <w:tcPr>
            <w:tcW w:w="5244" w:type="dxa"/>
            <w:tcBorders>
              <w:top w:val="nil"/>
              <w:left w:val="nil"/>
              <w:bottom w:val="double" w:sz="12" w:space="0" w:color="000000"/>
              <w:right w:val="nil"/>
            </w:tcBorders>
            <w:shd w:val="clear" w:color="auto" w:fill="E7E7E7"/>
            <w:tcMar>
              <w:top w:w="72" w:type="dxa"/>
              <w:left w:w="144" w:type="dxa"/>
              <w:bottom w:w="72" w:type="dxa"/>
              <w:right w:w="144" w:type="dxa"/>
            </w:tcMar>
            <w:vAlign w:val="center"/>
            <w:hideMark/>
          </w:tcPr>
          <w:p w14:paraId="03DB62E7" w14:textId="77777777" w:rsidR="00D1151A" w:rsidRPr="007E1529" w:rsidRDefault="00D1151A" w:rsidP="00D1151A">
            <w:pPr>
              <w:spacing w:after="0" w:line="216" w:lineRule="auto"/>
              <w:rPr>
                <w:rFonts w:eastAsia="Times New Roman" w:cs="Arial"/>
              </w:rPr>
            </w:pPr>
            <w:r w:rsidRPr="007E1529">
              <w:rPr>
                <w:rFonts w:eastAsia="Times New Roman" w:cs="Arial"/>
                <w:color w:val="000000" w:themeColor="dark1"/>
                <w:kern w:val="24"/>
              </w:rPr>
              <w:t>Lifecycle performance risk premium (row 36)</w:t>
            </w:r>
          </w:p>
        </w:tc>
        <w:tc>
          <w:tcPr>
            <w:tcW w:w="2236" w:type="dxa"/>
            <w:tcBorders>
              <w:top w:val="nil"/>
              <w:left w:val="nil"/>
              <w:bottom w:val="double" w:sz="12" w:space="0" w:color="000000"/>
              <w:right w:val="nil"/>
            </w:tcBorders>
            <w:shd w:val="clear" w:color="auto" w:fill="E7E7E7"/>
            <w:tcMar>
              <w:top w:w="20" w:type="dxa"/>
              <w:left w:w="20" w:type="dxa"/>
              <w:bottom w:w="0" w:type="dxa"/>
              <w:right w:w="20" w:type="dxa"/>
            </w:tcMar>
            <w:vAlign w:val="center"/>
            <w:hideMark/>
          </w:tcPr>
          <w:p w14:paraId="126DFC2E" w14:textId="7609B641" w:rsidR="00D1151A" w:rsidRPr="002F4CB8" w:rsidRDefault="006C6DCD" w:rsidP="003769D0">
            <w:pPr>
              <w:spacing w:after="0" w:line="240" w:lineRule="auto"/>
              <w:jc w:val="center"/>
              <w:rPr>
                <w:rFonts w:eastAsia="Times New Roman" w:cs="Arial"/>
                <w:b/>
                <w:color w:val="FF0000"/>
              </w:rPr>
            </w:pPr>
            <w:r w:rsidRPr="002F4CB8">
              <w:rPr>
                <w:rFonts w:eastAsia="Times New Roman" w:cs="Arial"/>
                <w:b/>
                <w:color w:val="FF0000"/>
              </w:rPr>
              <w:t>185</w:t>
            </w:r>
          </w:p>
        </w:tc>
        <w:tc>
          <w:tcPr>
            <w:tcW w:w="2236" w:type="dxa"/>
            <w:tcBorders>
              <w:top w:val="nil"/>
              <w:left w:val="nil"/>
              <w:bottom w:val="double" w:sz="12" w:space="0" w:color="000000"/>
              <w:right w:val="nil"/>
            </w:tcBorders>
            <w:shd w:val="clear" w:color="auto" w:fill="E7E7E7"/>
            <w:tcMar>
              <w:top w:w="20" w:type="dxa"/>
              <w:left w:w="20" w:type="dxa"/>
              <w:bottom w:w="0" w:type="dxa"/>
              <w:right w:w="20" w:type="dxa"/>
            </w:tcMar>
            <w:vAlign w:val="center"/>
            <w:hideMark/>
          </w:tcPr>
          <w:p w14:paraId="20703666" w14:textId="6DA1D90A" w:rsidR="00D1151A" w:rsidRPr="002F4CB8" w:rsidRDefault="006C6DCD" w:rsidP="003769D0">
            <w:pPr>
              <w:spacing w:after="0" w:line="240" w:lineRule="auto"/>
              <w:jc w:val="center"/>
              <w:rPr>
                <w:rFonts w:eastAsia="Times New Roman" w:cs="Arial"/>
                <w:b/>
                <w:color w:val="FF0000"/>
              </w:rPr>
            </w:pPr>
            <w:r w:rsidRPr="002F4CB8">
              <w:rPr>
                <w:rFonts w:eastAsia="Times New Roman" w:cs="Arial"/>
                <w:b/>
                <w:color w:val="FF0000"/>
              </w:rPr>
              <w:t>171</w:t>
            </w:r>
          </w:p>
        </w:tc>
      </w:tr>
      <w:tr w:rsidR="00D1151A" w:rsidRPr="00D1151A" w14:paraId="417237B5" w14:textId="77777777" w:rsidTr="00D1151A">
        <w:trPr>
          <w:trHeight w:val="177"/>
        </w:trPr>
        <w:tc>
          <w:tcPr>
            <w:tcW w:w="5244" w:type="dxa"/>
            <w:tcBorders>
              <w:top w:val="double" w:sz="12" w:space="0" w:color="000000"/>
              <w:left w:val="nil"/>
              <w:bottom w:val="single" w:sz="18" w:space="0" w:color="000000"/>
              <w:right w:val="nil"/>
            </w:tcBorders>
            <w:shd w:val="clear" w:color="auto" w:fill="auto"/>
            <w:tcMar>
              <w:top w:w="72" w:type="dxa"/>
              <w:left w:w="144" w:type="dxa"/>
              <w:bottom w:w="72" w:type="dxa"/>
              <w:right w:w="144" w:type="dxa"/>
            </w:tcMar>
            <w:vAlign w:val="center"/>
            <w:hideMark/>
          </w:tcPr>
          <w:p w14:paraId="353EE9FE" w14:textId="434F1F6A" w:rsidR="00D1151A" w:rsidRPr="007E1529" w:rsidRDefault="00D1151A" w:rsidP="00D1151A">
            <w:pPr>
              <w:spacing w:after="0" w:line="224" w:lineRule="atLeast"/>
              <w:rPr>
                <w:rFonts w:eastAsia="Times New Roman" w:cs="Arial"/>
              </w:rPr>
            </w:pPr>
            <w:r w:rsidRPr="007E1529">
              <w:rPr>
                <w:rFonts w:eastAsia="Times New Roman" w:cs="Arial"/>
                <w:b/>
                <w:bCs/>
                <w:color w:val="000000" w:themeColor="dark1"/>
                <w:kern w:val="24"/>
              </w:rPr>
              <w:t>Total risks</w:t>
            </w:r>
            <w:r w:rsidR="006C6DCD">
              <w:rPr>
                <w:rFonts w:eastAsia="Times New Roman" w:cs="Arial"/>
                <w:b/>
                <w:bCs/>
                <w:color w:val="000000" w:themeColor="dark1"/>
                <w:kern w:val="24"/>
              </w:rPr>
              <w:t xml:space="preserve"> (row 38)</w:t>
            </w:r>
          </w:p>
        </w:tc>
        <w:tc>
          <w:tcPr>
            <w:tcW w:w="2236" w:type="dxa"/>
            <w:tcBorders>
              <w:top w:val="double" w:sz="12" w:space="0" w:color="000000"/>
              <w:left w:val="nil"/>
              <w:bottom w:val="single" w:sz="18" w:space="0" w:color="000000"/>
              <w:right w:val="nil"/>
            </w:tcBorders>
            <w:shd w:val="clear" w:color="auto" w:fill="auto"/>
            <w:tcMar>
              <w:top w:w="20" w:type="dxa"/>
              <w:left w:w="20" w:type="dxa"/>
              <w:bottom w:w="0" w:type="dxa"/>
              <w:right w:w="20" w:type="dxa"/>
            </w:tcMar>
            <w:vAlign w:val="center"/>
            <w:hideMark/>
          </w:tcPr>
          <w:p w14:paraId="49A391CF" w14:textId="75105788" w:rsidR="00D1151A" w:rsidRPr="002F4CB8" w:rsidRDefault="006C6DCD" w:rsidP="003769D0">
            <w:pPr>
              <w:spacing w:after="0" w:line="240" w:lineRule="auto"/>
              <w:jc w:val="center"/>
              <w:rPr>
                <w:rFonts w:eastAsia="Times New Roman" w:cs="Arial"/>
                <w:b/>
                <w:color w:val="FF0000"/>
              </w:rPr>
            </w:pPr>
            <w:r w:rsidRPr="002F4CB8">
              <w:rPr>
                <w:rFonts w:eastAsia="Times New Roman" w:cs="Arial"/>
                <w:b/>
                <w:color w:val="FF0000"/>
              </w:rPr>
              <w:t>321</w:t>
            </w:r>
          </w:p>
        </w:tc>
        <w:tc>
          <w:tcPr>
            <w:tcW w:w="2236" w:type="dxa"/>
            <w:tcBorders>
              <w:top w:val="double" w:sz="12" w:space="0" w:color="000000"/>
              <w:left w:val="nil"/>
              <w:bottom w:val="single" w:sz="18" w:space="0" w:color="000000"/>
              <w:right w:val="nil"/>
            </w:tcBorders>
            <w:shd w:val="clear" w:color="auto" w:fill="auto"/>
            <w:tcMar>
              <w:top w:w="20" w:type="dxa"/>
              <w:left w:w="20" w:type="dxa"/>
              <w:bottom w:w="0" w:type="dxa"/>
              <w:right w:w="20" w:type="dxa"/>
            </w:tcMar>
            <w:vAlign w:val="center"/>
            <w:hideMark/>
          </w:tcPr>
          <w:p w14:paraId="231D988E" w14:textId="0EFAE2D6" w:rsidR="00D1151A" w:rsidRPr="002F4CB8" w:rsidRDefault="006C6DCD" w:rsidP="003769D0">
            <w:pPr>
              <w:spacing w:after="0" w:line="240" w:lineRule="auto"/>
              <w:jc w:val="center"/>
              <w:rPr>
                <w:rFonts w:eastAsia="Times New Roman" w:cs="Arial"/>
                <w:b/>
                <w:color w:val="FF0000"/>
              </w:rPr>
            </w:pPr>
            <w:r w:rsidRPr="002F4CB8">
              <w:rPr>
                <w:rFonts w:eastAsia="Times New Roman" w:cs="Arial"/>
                <w:b/>
                <w:color w:val="FF0000"/>
              </w:rPr>
              <w:t>299</w:t>
            </w:r>
          </w:p>
        </w:tc>
      </w:tr>
    </w:tbl>
    <w:p w14:paraId="1955587D" w14:textId="77777777" w:rsidR="00F8502B" w:rsidRDefault="00F8502B" w:rsidP="00F8502B">
      <w:pPr>
        <w:ind w:left="360"/>
      </w:pPr>
    </w:p>
    <w:p w14:paraId="28BFA6B1" w14:textId="77777777" w:rsidR="00D1151A" w:rsidRPr="002066E5" w:rsidRDefault="00D1151A" w:rsidP="00D1151A">
      <w:r w:rsidRPr="002066E5">
        <w:t>Below, please res</w:t>
      </w:r>
      <w:r>
        <w:t>pond to the following questions; we will also discuss them at the webinar</w:t>
      </w:r>
      <w:r w:rsidRPr="002066E5">
        <w:t>:</w:t>
      </w:r>
    </w:p>
    <w:p w14:paraId="15791519" w14:textId="1A66ECAD" w:rsidR="003E5960" w:rsidRPr="003769D0" w:rsidRDefault="0042183E" w:rsidP="002F4CB8">
      <w:pPr>
        <w:numPr>
          <w:ilvl w:val="0"/>
          <w:numId w:val="14"/>
        </w:numPr>
        <w:tabs>
          <w:tab w:val="clear" w:pos="720"/>
          <w:tab w:val="num" w:pos="360"/>
        </w:tabs>
        <w:ind w:left="360"/>
      </w:pPr>
      <w:r w:rsidRPr="003769D0">
        <w:rPr>
          <w:iCs/>
        </w:rPr>
        <w:t>Why are risks transferred to the P3 not shown separately</w:t>
      </w:r>
      <w:r w:rsidR="007E1529" w:rsidRPr="003769D0">
        <w:rPr>
          <w:iCs/>
        </w:rPr>
        <w:t xml:space="preserve">, as on the </w:t>
      </w:r>
      <w:r w:rsidR="007E1529" w:rsidRPr="003769D0">
        <w:rPr>
          <w:b/>
          <w:i/>
          <w:iCs/>
        </w:rPr>
        <w:t>Risk Output for VfM</w:t>
      </w:r>
      <w:r w:rsidR="007E1529" w:rsidRPr="003769D0">
        <w:rPr>
          <w:iCs/>
        </w:rPr>
        <w:t xml:space="preserve"> sheet</w:t>
      </w:r>
      <w:r w:rsidRPr="003769D0">
        <w:rPr>
          <w:iCs/>
        </w:rPr>
        <w:t>?</w:t>
      </w:r>
    </w:p>
    <w:p w14:paraId="0025FFBB" w14:textId="7A417037" w:rsidR="007E1529" w:rsidRPr="003769D0" w:rsidRDefault="001A68CA" w:rsidP="002F4CB8">
      <w:pPr>
        <w:ind w:left="360"/>
      </w:pPr>
      <w:r w:rsidRPr="002F4CB8">
        <w:rPr>
          <w:b/>
          <w:iCs/>
          <w:color w:val="FF0000"/>
        </w:rPr>
        <w:t xml:space="preserve">The risks are not shown separately because the PDBCA </w:t>
      </w:r>
      <w:r w:rsidR="007E1D90" w:rsidRPr="002F4CB8">
        <w:rPr>
          <w:b/>
          <w:iCs/>
          <w:color w:val="FF0000"/>
        </w:rPr>
        <w:t>considers the costs and</w:t>
      </w:r>
      <w:r w:rsidRPr="002F4CB8">
        <w:rPr>
          <w:b/>
          <w:iCs/>
          <w:color w:val="FF0000"/>
        </w:rPr>
        <w:t xml:space="preserve"> benefits to society</w:t>
      </w:r>
      <w:r w:rsidR="007E1D90" w:rsidRPr="002F4CB8">
        <w:rPr>
          <w:b/>
          <w:iCs/>
          <w:color w:val="FF0000"/>
        </w:rPr>
        <w:t xml:space="preserve"> as a whole</w:t>
      </w:r>
      <w:r w:rsidRPr="002F4CB8">
        <w:rPr>
          <w:b/>
          <w:iCs/>
          <w:color w:val="FF0000"/>
        </w:rPr>
        <w:t>, which includes both the agency and the P3 developer.</w:t>
      </w:r>
    </w:p>
    <w:p w14:paraId="612B217E" w14:textId="5F2187F0" w:rsidR="003E5960" w:rsidRPr="003769D0" w:rsidRDefault="007E1529" w:rsidP="002F4CB8">
      <w:pPr>
        <w:numPr>
          <w:ilvl w:val="0"/>
          <w:numId w:val="14"/>
        </w:numPr>
        <w:tabs>
          <w:tab w:val="clear" w:pos="720"/>
          <w:tab w:val="num" w:pos="360"/>
        </w:tabs>
        <w:ind w:left="360"/>
      </w:pPr>
      <w:r w:rsidRPr="003769D0">
        <w:rPr>
          <w:iCs/>
        </w:rPr>
        <w:t xml:space="preserve">Compare </w:t>
      </w:r>
      <w:r w:rsidR="0042183E" w:rsidRPr="003769D0">
        <w:rPr>
          <w:iCs/>
        </w:rPr>
        <w:t xml:space="preserve">the lifecycle performance risk </w:t>
      </w:r>
      <w:r w:rsidRPr="003769D0">
        <w:rPr>
          <w:iCs/>
        </w:rPr>
        <w:t>values.  Why are they different</w:t>
      </w:r>
      <w:r w:rsidR="0042183E" w:rsidRPr="003769D0">
        <w:rPr>
          <w:iCs/>
        </w:rPr>
        <w:t>, given that the market-based WACC was used to estimate both values?</w:t>
      </w:r>
    </w:p>
    <w:p w14:paraId="69083512" w14:textId="40F67202" w:rsidR="007E1529" w:rsidRPr="003769D0" w:rsidRDefault="000036FA" w:rsidP="00467F98">
      <w:pPr>
        <w:ind w:left="360"/>
      </w:pPr>
      <w:r w:rsidRPr="002F4CB8">
        <w:rPr>
          <w:b/>
          <w:iCs/>
          <w:color w:val="FF0000"/>
        </w:rPr>
        <w:t xml:space="preserve">The NPV of the lifecycle performance risk premium under the PSC scenario is $14 M greater than under the P3 scenario. </w:t>
      </w:r>
      <w:r w:rsidR="007E1D90" w:rsidRPr="002F4CB8">
        <w:rPr>
          <w:b/>
          <w:color w:val="FF0000"/>
        </w:rPr>
        <w:t xml:space="preserve">The difference is due to the procedure used to calculate the risk cost.  </w:t>
      </w:r>
      <w:r w:rsidR="00D447AF" w:rsidRPr="002F4CB8">
        <w:rPr>
          <w:b/>
          <w:color w:val="FF0000"/>
        </w:rPr>
        <w:t>The NPV of the lifecycle performance risk for the PSC and P3 respectively is based on the Agency’s and the concessionaire’s cost cash flows respectively.  However, t</w:t>
      </w:r>
      <w:r w:rsidR="007E1D90" w:rsidRPr="002F4CB8">
        <w:rPr>
          <w:b/>
          <w:color w:val="FF0000"/>
        </w:rPr>
        <w:t xml:space="preserve">he developer has lower </w:t>
      </w:r>
      <w:r w:rsidR="00D447AF" w:rsidRPr="002F4CB8">
        <w:rPr>
          <w:b/>
          <w:color w:val="FF0000"/>
        </w:rPr>
        <w:t xml:space="preserve">base, pure risk and base </w:t>
      </w:r>
      <w:r w:rsidR="002F4CB8" w:rsidRPr="002F4CB8">
        <w:rPr>
          <w:b/>
          <w:color w:val="FF0000"/>
        </w:rPr>
        <w:t>variability</w:t>
      </w:r>
      <w:r w:rsidR="00D447AF" w:rsidRPr="002F4CB8">
        <w:rPr>
          <w:b/>
          <w:color w:val="FF0000"/>
        </w:rPr>
        <w:t xml:space="preserve"> costs due to P3 efficiencies assumed in the inputs.  </w:t>
      </w:r>
    </w:p>
    <w:p w14:paraId="29743729" w14:textId="77777777" w:rsidR="00AE2F2E" w:rsidRDefault="007E1529" w:rsidP="002F4CB8">
      <w:pPr>
        <w:numPr>
          <w:ilvl w:val="0"/>
          <w:numId w:val="14"/>
        </w:numPr>
        <w:tabs>
          <w:tab w:val="clear" w:pos="720"/>
          <w:tab w:val="num" w:pos="360"/>
        </w:tabs>
        <w:ind w:left="360"/>
      </w:pPr>
      <w:r w:rsidRPr="003769D0">
        <w:rPr>
          <w:iCs/>
        </w:rPr>
        <w:t>Were</w:t>
      </w:r>
      <w:r w:rsidR="0042183E" w:rsidRPr="003769D0">
        <w:rPr>
          <w:iCs/>
        </w:rPr>
        <w:t xml:space="preserve"> overall risk costs reduced</w:t>
      </w:r>
      <w:r w:rsidRPr="003769D0">
        <w:rPr>
          <w:iCs/>
        </w:rPr>
        <w:t xml:space="preserve"> with the P3 option</w:t>
      </w:r>
      <w:r w:rsidR="0042183E" w:rsidRPr="003769D0">
        <w:rPr>
          <w:iCs/>
        </w:rPr>
        <w:t>?</w:t>
      </w:r>
      <w:r w:rsidRPr="003769D0">
        <w:rPr>
          <w:iCs/>
        </w:rPr>
        <w:t xml:space="preserve"> Why do you think so?</w:t>
      </w:r>
    </w:p>
    <w:p w14:paraId="7AF9323D" w14:textId="377AB86F" w:rsidR="00E24705" w:rsidRPr="003769D0" w:rsidRDefault="00E24705" w:rsidP="00467F98">
      <w:pPr>
        <w:ind w:left="360"/>
      </w:pPr>
      <w:r w:rsidRPr="00467F98">
        <w:rPr>
          <w:b/>
          <w:iCs/>
          <w:color w:val="FF0000"/>
        </w:rPr>
        <w:t xml:space="preserve">Yes. </w:t>
      </w:r>
      <w:r w:rsidR="00AE2F2E" w:rsidRPr="00467F98">
        <w:rPr>
          <w:b/>
          <w:iCs/>
          <w:color w:val="FF0000"/>
        </w:rPr>
        <w:t xml:space="preserve">Overall risk costs were reduced </w:t>
      </w:r>
      <w:r w:rsidR="00BF3BA6" w:rsidRPr="00467F98">
        <w:rPr>
          <w:b/>
          <w:iCs/>
          <w:color w:val="FF0000"/>
        </w:rPr>
        <w:t xml:space="preserve">from $321 M to $299 M, </w:t>
      </w:r>
      <w:r w:rsidR="00AE2F2E" w:rsidRPr="00467F98">
        <w:rPr>
          <w:b/>
          <w:iCs/>
          <w:color w:val="FF0000"/>
        </w:rPr>
        <w:t xml:space="preserve">because the </w:t>
      </w:r>
      <w:r w:rsidR="00BF3BA6" w:rsidRPr="00467F98">
        <w:rPr>
          <w:b/>
          <w:iCs/>
          <w:color w:val="FF0000"/>
        </w:rPr>
        <w:t xml:space="preserve">inputs assumed that the </w:t>
      </w:r>
      <w:r w:rsidR="00AE2F2E" w:rsidRPr="00467F98">
        <w:rPr>
          <w:b/>
          <w:iCs/>
          <w:color w:val="FF0000"/>
        </w:rPr>
        <w:t xml:space="preserve">private sector can manage </w:t>
      </w:r>
      <w:r w:rsidR="00BF3BA6" w:rsidRPr="00467F98">
        <w:rPr>
          <w:b/>
          <w:iCs/>
          <w:color w:val="FF0000"/>
        </w:rPr>
        <w:t xml:space="preserve">many of the </w:t>
      </w:r>
      <w:r w:rsidR="00AE2F2E" w:rsidRPr="00467F98">
        <w:rPr>
          <w:b/>
          <w:iCs/>
          <w:color w:val="FF0000"/>
        </w:rPr>
        <w:t>risk</w:t>
      </w:r>
      <w:r w:rsidR="00BF3BA6" w:rsidRPr="00467F98">
        <w:rPr>
          <w:b/>
          <w:iCs/>
          <w:color w:val="FF0000"/>
        </w:rPr>
        <w:t>s</w:t>
      </w:r>
      <w:r w:rsidR="00AE2F2E" w:rsidRPr="00467F98">
        <w:rPr>
          <w:b/>
          <w:iCs/>
          <w:color w:val="FF0000"/>
        </w:rPr>
        <w:t xml:space="preserve"> more efficiently</w:t>
      </w:r>
      <w:r w:rsidR="00D26DF5" w:rsidRPr="00467F98">
        <w:rPr>
          <w:b/>
          <w:iCs/>
          <w:color w:val="FF0000"/>
        </w:rPr>
        <w:t>, and the calculation method for lifecycle performance risk costs for the P3 is based on the lower cost cash flows of the concessionaire</w:t>
      </w:r>
      <w:r w:rsidR="00AE2F2E" w:rsidRPr="00467F98">
        <w:rPr>
          <w:b/>
          <w:iCs/>
          <w:color w:val="FF0000"/>
        </w:rPr>
        <w:t>.</w:t>
      </w:r>
      <w:r w:rsidR="00B710D6" w:rsidRPr="00467F98">
        <w:rPr>
          <w:b/>
          <w:iCs/>
          <w:color w:val="FF0000"/>
        </w:rPr>
        <w:t xml:space="preserve"> </w:t>
      </w:r>
    </w:p>
    <w:p w14:paraId="49808F37" w14:textId="77777777" w:rsidR="0087125E" w:rsidRDefault="0087125E" w:rsidP="006F1870">
      <w:pPr>
        <w:rPr>
          <w:b/>
          <w:u w:val="single"/>
        </w:rPr>
      </w:pPr>
    </w:p>
    <w:p w14:paraId="1617EB9A" w14:textId="73D63A8A" w:rsidR="006F1870" w:rsidRPr="006C3314" w:rsidRDefault="006F1870" w:rsidP="006F1870">
      <w:pPr>
        <w:rPr>
          <w:b/>
          <w:u w:val="single"/>
        </w:rPr>
      </w:pPr>
      <w:r w:rsidRPr="006C3314">
        <w:rPr>
          <w:b/>
          <w:u w:val="single"/>
        </w:rPr>
        <w:lastRenderedPageBreak/>
        <w:t xml:space="preserve">Part C: </w:t>
      </w:r>
      <w:r w:rsidR="00BA4BC6" w:rsidRPr="00BA4BC6">
        <w:rPr>
          <w:b/>
          <w:u w:val="single"/>
        </w:rPr>
        <w:t>Part C: Use of WACC to Value Risk</w:t>
      </w:r>
    </w:p>
    <w:p w14:paraId="26A6217C" w14:textId="097189D9" w:rsidR="002944A0" w:rsidRPr="007E1529" w:rsidRDefault="007E1529" w:rsidP="002944A0">
      <w:pPr>
        <w:rPr>
          <w:iCs/>
        </w:rPr>
      </w:pPr>
      <w:r>
        <w:rPr>
          <w:iCs/>
        </w:rPr>
        <w:t>Assume that, d</w:t>
      </w:r>
      <w:r w:rsidR="002944A0" w:rsidRPr="002944A0">
        <w:rPr>
          <w:iCs/>
        </w:rPr>
        <w:t xml:space="preserve">ue to new information on revenue uncertainty, </w:t>
      </w:r>
      <w:r>
        <w:rPr>
          <w:iCs/>
        </w:rPr>
        <w:t xml:space="preserve">project financiers perceive much higher revenue risk and </w:t>
      </w:r>
      <w:r w:rsidR="002944A0" w:rsidRPr="002944A0">
        <w:rPr>
          <w:iCs/>
        </w:rPr>
        <w:t xml:space="preserve">financing conditions </w:t>
      </w:r>
      <w:r>
        <w:rPr>
          <w:iCs/>
        </w:rPr>
        <w:t>will change</w:t>
      </w:r>
      <w:r w:rsidR="002944A0" w:rsidRPr="002944A0">
        <w:rPr>
          <w:iCs/>
        </w:rPr>
        <w:t xml:space="preserve">. </w:t>
      </w:r>
      <w:r w:rsidR="002944A0" w:rsidRPr="007E1529">
        <w:rPr>
          <w:iCs/>
        </w:rPr>
        <w:t xml:space="preserve">In </w:t>
      </w:r>
      <w:proofErr w:type="spellStart"/>
      <w:r w:rsidR="002944A0" w:rsidRPr="007E1529">
        <w:rPr>
          <w:b/>
          <w:bCs/>
          <w:i/>
          <w:iCs/>
        </w:rPr>
        <w:t>InpFin</w:t>
      </w:r>
      <w:proofErr w:type="spellEnd"/>
      <w:r w:rsidR="002944A0" w:rsidRPr="003769D0">
        <w:rPr>
          <w:bCs/>
          <w:iCs/>
        </w:rPr>
        <w:t>, i</w:t>
      </w:r>
      <w:r w:rsidR="002944A0" w:rsidRPr="007E1529">
        <w:rPr>
          <w:iCs/>
        </w:rPr>
        <w:t>ncrease the cost of equity (I54) and interest rates (I61 &amp; I62) by 2% each. Optimize the model and record the revised WACC below</w:t>
      </w:r>
      <w:r w:rsidR="00453811">
        <w:rPr>
          <w:iCs/>
        </w:rPr>
        <w:t xml:space="preserve"> (WACC values are listed in a pop up window after the model is optimized. The value will also be equal to the discount rate applied to the P3 Developer </w:t>
      </w:r>
      <w:r w:rsidR="00DD4F93">
        <w:rPr>
          <w:iCs/>
        </w:rPr>
        <w:t xml:space="preserve">seen </w:t>
      </w:r>
      <w:r w:rsidR="00453811">
        <w:rPr>
          <w:iCs/>
        </w:rPr>
        <w:t xml:space="preserve">in the </w:t>
      </w:r>
      <w:r w:rsidR="00453811" w:rsidRPr="007E1529">
        <w:rPr>
          <w:b/>
          <w:i/>
          <w:iCs/>
          <w:sz w:val="24"/>
          <w:szCs w:val="24"/>
        </w:rPr>
        <w:t>Risk Output for VfM</w:t>
      </w:r>
      <w:r w:rsidR="00453811">
        <w:rPr>
          <w:iCs/>
          <w:sz w:val="24"/>
          <w:szCs w:val="24"/>
        </w:rPr>
        <w:t xml:space="preserve"> tab</w:t>
      </w:r>
      <w:proofErr w:type="gramStart"/>
      <w:r w:rsidR="00453811">
        <w:rPr>
          <w:iCs/>
        </w:rPr>
        <w:t xml:space="preserve">) </w:t>
      </w:r>
      <w:r w:rsidR="002944A0" w:rsidRPr="007E1529">
        <w:rPr>
          <w:iCs/>
        </w:rPr>
        <w:t>:</w:t>
      </w:r>
      <w:proofErr w:type="gramEnd"/>
      <w:r w:rsidR="002944A0" w:rsidRPr="007E1529">
        <w:rPr>
          <w:iCs/>
        </w:rPr>
        <w:t xml:space="preserve"> </w:t>
      </w:r>
    </w:p>
    <w:p w14:paraId="1905FA1E" w14:textId="21ED7C04" w:rsidR="00453811" w:rsidRDefault="00453811" w:rsidP="00467F98">
      <w:pPr>
        <w:numPr>
          <w:ilvl w:val="0"/>
          <w:numId w:val="16"/>
        </w:numPr>
        <w:spacing w:after="0"/>
        <w:rPr>
          <w:iCs/>
        </w:rPr>
      </w:pPr>
      <w:r w:rsidRPr="002944A0">
        <w:rPr>
          <w:iCs/>
        </w:rPr>
        <w:t xml:space="preserve">Prior WACC </w:t>
      </w:r>
      <w:r>
        <w:rPr>
          <w:iCs/>
        </w:rPr>
        <w:t xml:space="preserve">(row 3, column M) </w:t>
      </w:r>
      <w:r w:rsidRPr="002944A0">
        <w:rPr>
          <w:iCs/>
        </w:rPr>
        <w:t>= _</w:t>
      </w:r>
      <w:r w:rsidR="00467F98">
        <w:rPr>
          <w:iCs/>
        </w:rPr>
        <w:t>__</w:t>
      </w:r>
      <w:r w:rsidRPr="00467F98">
        <w:rPr>
          <w:b/>
          <w:iCs/>
          <w:color w:val="FF0000"/>
        </w:rPr>
        <w:t>8.84</w:t>
      </w:r>
      <w:r w:rsidRPr="002944A0">
        <w:rPr>
          <w:iCs/>
        </w:rPr>
        <w:t>______%</w:t>
      </w:r>
    </w:p>
    <w:p w14:paraId="23F7DFAA" w14:textId="0A5AFF14" w:rsidR="000D1146" w:rsidRDefault="0042183E" w:rsidP="00467F98">
      <w:pPr>
        <w:numPr>
          <w:ilvl w:val="0"/>
          <w:numId w:val="16"/>
        </w:numPr>
        <w:spacing w:after="0"/>
        <w:rPr>
          <w:iCs/>
        </w:rPr>
      </w:pPr>
      <w:r w:rsidRPr="002944A0">
        <w:rPr>
          <w:iCs/>
        </w:rPr>
        <w:t xml:space="preserve">Revised WACC =    </w:t>
      </w:r>
      <w:r w:rsidR="00467F98">
        <w:rPr>
          <w:iCs/>
        </w:rPr>
        <w:tab/>
      </w:r>
      <w:r w:rsidR="00467F98">
        <w:rPr>
          <w:iCs/>
        </w:rPr>
        <w:tab/>
      </w:r>
      <w:r w:rsidRPr="002944A0">
        <w:rPr>
          <w:iCs/>
        </w:rPr>
        <w:t xml:space="preserve"> ___</w:t>
      </w:r>
      <w:r w:rsidR="00453811" w:rsidRPr="00467F98">
        <w:rPr>
          <w:b/>
          <w:iCs/>
          <w:color w:val="FF0000"/>
        </w:rPr>
        <w:t>10.70</w:t>
      </w:r>
      <w:r w:rsidRPr="002944A0">
        <w:rPr>
          <w:iCs/>
        </w:rPr>
        <w:t>_____%</w:t>
      </w:r>
    </w:p>
    <w:p w14:paraId="570BE727" w14:textId="55CA4283" w:rsidR="003E5960" w:rsidRDefault="0042183E" w:rsidP="00467F98">
      <w:pPr>
        <w:numPr>
          <w:ilvl w:val="0"/>
          <w:numId w:val="16"/>
        </w:numPr>
        <w:spacing w:after="0"/>
        <w:rPr>
          <w:iCs/>
        </w:rPr>
      </w:pPr>
      <w:r w:rsidRPr="002944A0">
        <w:rPr>
          <w:iCs/>
        </w:rPr>
        <w:t xml:space="preserve">Increase in WACC = </w:t>
      </w:r>
      <w:r w:rsidR="00467F98">
        <w:rPr>
          <w:iCs/>
        </w:rPr>
        <w:tab/>
      </w:r>
      <w:r w:rsidR="00467F98">
        <w:rPr>
          <w:iCs/>
        </w:rPr>
        <w:tab/>
      </w:r>
      <w:r w:rsidRPr="002944A0">
        <w:rPr>
          <w:iCs/>
        </w:rPr>
        <w:t>___</w:t>
      </w:r>
      <w:r w:rsidR="00453811" w:rsidRPr="00467F98">
        <w:rPr>
          <w:b/>
          <w:iCs/>
          <w:color w:val="FF0000"/>
        </w:rPr>
        <w:t>1.86</w:t>
      </w:r>
      <w:r w:rsidRPr="002944A0">
        <w:rPr>
          <w:iCs/>
        </w:rPr>
        <w:t>_____%</w:t>
      </w:r>
    </w:p>
    <w:p w14:paraId="3A8C3117" w14:textId="77777777" w:rsidR="00467F98" w:rsidRDefault="00467F98" w:rsidP="002944A0">
      <w:pPr>
        <w:rPr>
          <w:iCs/>
        </w:rPr>
      </w:pPr>
    </w:p>
    <w:p w14:paraId="7EAFA878" w14:textId="32A7C531" w:rsidR="002944A0" w:rsidRPr="007E1529" w:rsidRDefault="002944A0" w:rsidP="002944A0">
      <w:pPr>
        <w:rPr>
          <w:iCs/>
        </w:rPr>
      </w:pPr>
      <w:r w:rsidRPr="007E1529">
        <w:rPr>
          <w:iCs/>
        </w:rPr>
        <w:t>Use the model to calculate the new value of revenue uncertainty by adding the increase in WACC to the existing revenue uncertainty adjustment input</w:t>
      </w:r>
      <w:r w:rsidR="00DD4F93">
        <w:rPr>
          <w:iCs/>
        </w:rPr>
        <w:t xml:space="preserve"> in </w:t>
      </w:r>
      <w:proofErr w:type="spellStart"/>
      <w:r w:rsidR="00DD4F93" w:rsidRPr="007E1529">
        <w:rPr>
          <w:b/>
          <w:bCs/>
          <w:i/>
          <w:iCs/>
        </w:rPr>
        <w:t>InpFin</w:t>
      </w:r>
      <w:proofErr w:type="spellEnd"/>
      <w:r w:rsidRPr="007E1529">
        <w:rPr>
          <w:iCs/>
        </w:rPr>
        <w:t xml:space="preserve">: </w:t>
      </w:r>
    </w:p>
    <w:p w14:paraId="33DEF39D" w14:textId="38001102" w:rsidR="003E5960" w:rsidRPr="003769D0" w:rsidRDefault="0042183E" w:rsidP="002944A0">
      <w:pPr>
        <w:numPr>
          <w:ilvl w:val="0"/>
          <w:numId w:val="17"/>
        </w:numPr>
        <w:rPr>
          <w:iCs/>
        </w:rPr>
      </w:pPr>
      <w:r w:rsidRPr="002944A0">
        <w:rPr>
          <w:iCs/>
        </w:rPr>
        <w:t xml:space="preserve">Difference between Availability Payment WACC and Toll Concession WACC (row 71) = </w:t>
      </w:r>
      <w:r w:rsidRPr="002944A0">
        <w:rPr>
          <w:iCs/>
          <w:u w:val="single"/>
        </w:rPr>
        <w:t>1.6% + Increase in WACC</w:t>
      </w:r>
      <w:r w:rsidR="00DD4F93">
        <w:rPr>
          <w:iCs/>
          <w:u w:val="single"/>
        </w:rPr>
        <w:t xml:space="preserve"> =        </w:t>
      </w:r>
      <w:r w:rsidR="00DD4F93" w:rsidRPr="00467F98">
        <w:rPr>
          <w:b/>
          <w:iCs/>
          <w:color w:val="FF0000"/>
          <w:u w:val="single"/>
        </w:rPr>
        <w:t>3.46</w:t>
      </w:r>
      <w:r w:rsidR="00DD4F93" w:rsidRPr="00467F98">
        <w:rPr>
          <w:iCs/>
          <w:color w:val="FF0000"/>
          <w:u w:val="single"/>
        </w:rPr>
        <w:t xml:space="preserve">        </w:t>
      </w:r>
      <w:r w:rsidR="00DD4F93">
        <w:rPr>
          <w:iCs/>
          <w:u w:val="single"/>
        </w:rPr>
        <w:t>%</w:t>
      </w:r>
    </w:p>
    <w:p w14:paraId="0B3496CB" w14:textId="1C4FE1A3" w:rsidR="002944A0" w:rsidRPr="007E1529" w:rsidRDefault="002944A0" w:rsidP="002944A0">
      <w:pPr>
        <w:rPr>
          <w:iCs/>
        </w:rPr>
      </w:pPr>
      <w:r w:rsidRPr="007E1529">
        <w:rPr>
          <w:iCs/>
        </w:rPr>
        <w:t xml:space="preserve">Optimize the model </w:t>
      </w:r>
      <w:r w:rsidR="00DD4F93">
        <w:rPr>
          <w:iCs/>
        </w:rPr>
        <w:t>again</w:t>
      </w:r>
    </w:p>
    <w:p w14:paraId="66D0AE41" w14:textId="77777777" w:rsidR="002944A0" w:rsidRPr="002944A0" w:rsidRDefault="002944A0" w:rsidP="002944A0">
      <w:pPr>
        <w:rPr>
          <w:iCs/>
        </w:rPr>
      </w:pPr>
      <w:r w:rsidRPr="002944A0">
        <w:rPr>
          <w:iCs/>
        </w:rPr>
        <w:t xml:space="preserve">Review and record below the nominal risk values for VfM (see </w:t>
      </w:r>
      <w:r w:rsidRPr="007E1529">
        <w:rPr>
          <w:b/>
          <w:bCs/>
          <w:i/>
          <w:iCs/>
        </w:rPr>
        <w:t>Risk Output for VfM</w:t>
      </w:r>
      <w:r w:rsidRPr="002944A0">
        <w:rPr>
          <w:b/>
          <w:bCs/>
          <w:iCs/>
        </w:rPr>
        <w:t xml:space="preserve"> </w:t>
      </w:r>
      <w:r w:rsidRPr="002944A0">
        <w:rPr>
          <w:iCs/>
        </w:rPr>
        <w:t>sheet).</w:t>
      </w:r>
    </w:p>
    <w:tbl>
      <w:tblPr>
        <w:tblW w:w="9923" w:type="dxa"/>
        <w:tblCellMar>
          <w:left w:w="0" w:type="dxa"/>
          <w:right w:w="0" w:type="dxa"/>
        </w:tblCellMar>
        <w:tblLook w:val="0460" w:firstRow="1" w:lastRow="1" w:firstColumn="0" w:lastColumn="0" w:noHBand="0" w:noVBand="1"/>
      </w:tblPr>
      <w:tblGrid>
        <w:gridCol w:w="4969"/>
        <w:gridCol w:w="1792"/>
        <w:gridCol w:w="1566"/>
        <w:gridCol w:w="1596"/>
      </w:tblGrid>
      <w:tr w:rsidR="002944A0" w:rsidRPr="002944A0" w14:paraId="44FD03D9" w14:textId="77777777" w:rsidTr="002944A0">
        <w:trPr>
          <w:trHeight w:val="205"/>
        </w:trPr>
        <w:tc>
          <w:tcPr>
            <w:tcW w:w="4969" w:type="dxa"/>
            <w:vMerge w:val="restart"/>
            <w:tcBorders>
              <w:top w:val="single" w:sz="18" w:space="0" w:color="000000"/>
              <w:left w:val="nil"/>
              <w:bottom w:val="single" w:sz="18" w:space="0" w:color="000000"/>
              <w:right w:val="nil"/>
            </w:tcBorders>
            <w:shd w:val="clear" w:color="auto" w:fill="B470A3"/>
            <w:tcMar>
              <w:top w:w="72" w:type="dxa"/>
              <w:left w:w="177" w:type="dxa"/>
              <w:bottom w:w="72" w:type="dxa"/>
              <w:right w:w="177" w:type="dxa"/>
            </w:tcMar>
            <w:vAlign w:val="center"/>
            <w:hideMark/>
          </w:tcPr>
          <w:p w14:paraId="3EDEFDFD" w14:textId="77777777" w:rsidR="002944A0" w:rsidRPr="007E1529" w:rsidRDefault="002944A0" w:rsidP="002944A0">
            <w:pPr>
              <w:spacing w:after="0" w:line="240" w:lineRule="atLeast"/>
              <w:rPr>
                <w:rFonts w:eastAsia="Times New Roman" w:cs="Arial"/>
              </w:rPr>
            </w:pPr>
            <w:r w:rsidRPr="007E1529">
              <w:rPr>
                <w:rFonts w:eastAsia="Times New Roman" w:cs="Arial"/>
                <w:b/>
                <w:bCs/>
                <w:color w:val="FFFFFF" w:themeColor="light1"/>
                <w:kern w:val="24"/>
              </w:rPr>
              <w:t>Item</w:t>
            </w:r>
          </w:p>
        </w:tc>
        <w:tc>
          <w:tcPr>
            <w:tcW w:w="4954" w:type="dxa"/>
            <w:gridSpan w:val="3"/>
            <w:tcBorders>
              <w:top w:val="single" w:sz="18" w:space="0" w:color="000000"/>
              <w:left w:val="nil"/>
              <w:bottom w:val="nil"/>
              <w:right w:val="nil"/>
            </w:tcBorders>
            <w:shd w:val="clear" w:color="auto" w:fill="B470A3"/>
            <w:tcMar>
              <w:top w:w="72" w:type="dxa"/>
              <w:left w:w="177" w:type="dxa"/>
              <w:bottom w:w="72" w:type="dxa"/>
              <w:right w:w="177" w:type="dxa"/>
            </w:tcMar>
            <w:vAlign w:val="center"/>
            <w:hideMark/>
          </w:tcPr>
          <w:p w14:paraId="0BC2A33D" w14:textId="77777777" w:rsidR="002944A0" w:rsidRPr="007E1529" w:rsidRDefault="002944A0" w:rsidP="002944A0">
            <w:pPr>
              <w:spacing w:after="0" w:line="240" w:lineRule="atLeast"/>
              <w:jc w:val="center"/>
              <w:rPr>
                <w:rFonts w:eastAsia="Times New Roman" w:cs="Arial"/>
              </w:rPr>
            </w:pPr>
            <w:r w:rsidRPr="007E1529">
              <w:rPr>
                <w:rFonts w:eastAsia="Times New Roman" w:cs="Arial"/>
                <w:b/>
                <w:bCs/>
                <w:color w:val="FFFFFF" w:themeColor="light1"/>
                <w:kern w:val="24"/>
              </w:rPr>
              <w:t>Nominal risk values ($M)</w:t>
            </w:r>
          </w:p>
        </w:tc>
      </w:tr>
      <w:tr w:rsidR="002944A0" w:rsidRPr="002944A0" w14:paraId="2EA69362" w14:textId="77777777" w:rsidTr="002944A0">
        <w:trPr>
          <w:trHeight w:val="164"/>
        </w:trPr>
        <w:tc>
          <w:tcPr>
            <w:tcW w:w="0" w:type="auto"/>
            <w:vMerge/>
            <w:tcBorders>
              <w:top w:val="single" w:sz="18" w:space="0" w:color="000000"/>
              <w:left w:val="nil"/>
              <w:bottom w:val="single" w:sz="18" w:space="0" w:color="000000"/>
              <w:right w:val="nil"/>
            </w:tcBorders>
            <w:vAlign w:val="center"/>
            <w:hideMark/>
          </w:tcPr>
          <w:p w14:paraId="39896783" w14:textId="77777777" w:rsidR="002944A0" w:rsidRPr="007E1529" w:rsidRDefault="002944A0" w:rsidP="002944A0">
            <w:pPr>
              <w:spacing w:after="0" w:line="240" w:lineRule="auto"/>
              <w:rPr>
                <w:rFonts w:eastAsia="Times New Roman" w:cs="Arial"/>
              </w:rPr>
            </w:pPr>
          </w:p>
        </w:tc>
        <w:tc>
          <w:tcPr>
            <w:tcW w:w="1792" w:type="dxa"/>
            <w:tcBorders>
              <w:top w:val="nil"/>
              <w:left w:val="nil"/>
              <w:bottom w:val="single" w:sz="18" w:space="0" w:color="000000"/>
              <w:right w:val="nil"/>
            </w:tcBorders>
            <w:shd w:val="clear" w:color="auto" w:fill="B470A3"/>
            <w:tcMar>
              <w:top w:w="72" w:type="dxa"/>
              <w:left w:w="177" w:type="dxa"/>
              <w:bottom w:w="72" w:type="dxa"/>
              <w:right w:w="177" w:type="dxa"/>
            </w:tcMar>
            <w:vAlign w:val="center"/>
            <w:hideMark/>
          </w:tcPr>
          <w:p w14:paraId="6754D199" w14:textId="77777777" w:rsidR="002944A0" w:rsidRPr="007E1529" w:rsidRDefault="002944A0" w:rsidP="002944A0">
            <w:pPr>
              <w:spacing w:after="0" w:line="192" w:lineRule="atLeast"/>
              <w:jc w:val="center"/>
              <w:rPr>
                <w:rFonts w:eastAsia="Times New Roman" w:cs="Arial"/>
              </w:rPr>
            </w:pPr>
            <w:r w:rsidRPr="007E1529">
              <w:rPr>
                <w:rFonts w:eastAsia="Times New Roman" w:cs="Arial"/>
                <w:b/>
                <w:bCs/>
                <w:color w:val="FFFFFF" w:themeColor="background1"/>
                <w:kern w:val="24"/>
              </w:rPr>
              <w:t>Conventional</w:t>
            </w:r>
            <w:r w:rsidRPr="007E1529">
              <w:rPr>
                <w:rFonts w:eastAsia="Times New Roman" w:cs="Arial"/>
                <w:b/>
                <w:bCs/>
                <w:color w:val="FFFFFF" w:themeColor="background1"/>
                <w:kern w:val="24"/>
              </w:rPr>
              <w:br/>
              <w:t xml:space="preserve">Delivery </w:t>
            </w:r>
            <w:r w:rsidRPr="007E1529">
              <w:rPr>
                <w:rFonts w:eastAsia="Times New Roman" w:cs="Arial"/>
                <w:b/>
                <w:bCs/>
                <w:color w:val="FFFFFF" w:themeColor="background1"/>
                <w:kern w:val="24"/>
              </w:rPr>
              <w:br/>
              <w:t>(Column H)</w:t>
            </w:r>
          </w:p>
        </w:tc>
        <w:tc>
          <w:tcPr>
            <w:tcW w:w="1566" w:type="dxa"/>
            <w:tcBorders>
              <w:top w:val="nil"/>
              <w:left w:val="nil"/>
              <w:bottom w:val="single" w:sz="18" w:space="0" w:color="000000"/>
              <w:right w:val="nil"/>
            </w:tcBorders>
            <w:shd w:val="clear" w:color="auto" w:fill="B470A3"/>
            <w:tcMar>
              <w:top w:w="72" w:type="dxa"/>
              <w:left w:w="177" w:type="dxa"/>
              <w:bottom w:w="72" w:type="dxa"/>
              <w:right w:w="177" w:type="dxa"/>
            </w:tcMar>
            <w:vAlign w:val="center"/>
            <w:hideMark/>
          </w:tcPr>
          <w:p w14:paraId="3BF9BF96" w14:textId="77777777" w:rsidR="002944A0" w:rsidRPr="007E1529" w:rsidRDefault="002944A0" w:rsidP="002944A0">
            <w:pPr>
              <w:spacing w:after="0" w:line="192" w:lineRule="atLeast"/>
              <w:jc w:val="center"/>
              <w:rPr>
                <w:rFonts w:eastAsia="Times New Roman" w:cs="Arial"/>
              </w:rPr>
            </w:pPr>
            <w:r w:rsidRPr="007E1529">
              <w:rPr>
                <w:rFonts w:eastAsia="Times New Roman" w:cs="Arial"/>
                <w:b/>
                <w:bCs/>
                <w:color w:val="FFFFFF" w:themeColor="background1"/>
                <w:kern w:val="24"/>
              </w:rPr>
              <w:t>Retained</w:t>
            </w:r>
            <w:r w:rsidRPr="007E1529">
              <w:rPr>
                <w:rFonts w:eastAsia="Times New Roman" w:cs="Arial"/>
                <w:b/>
                <w:bCs/>
                <w:color w:val="FFFFFF" w:themeColor="background1"/>
                <w:kern w:val="24"/>
              </w:rPr>
              <w:br/>
              <w:t>risks P3</w:t>
            </w:r>
            <w:r w:rsidRPr="007E1529">
              <w:rPr>
                <w:rFonts w:eastAsia="Times New Roman" w:cs="Arial"/>
                <w:b/>
                <w:bCs/>
                <w:color w:val="FFFFFF" w:themeColor="background1"/>
                <w:kern w:val="24"/>
              </w:rPr>
              <w:br/>
              <w:t>(Column H)</w:t>
            </w:r>
          </w:p>
        </w:tc>
        <w:tc>
          <w:tcPr>
            <w:tcW w:w="1596" w:type="dxa"/>
            <w:tcBorders>
              <w:top w:val="nil"/>
              <w:left w:val="nil"/>
              <w:bottom w:val="single" w:sz="18" w:space="0" w:color="000000"/>
              <w:right w:val="nil"/>
            </w:tcBorders>
            <w:shd w:val="clear" w:color="auto" w:fill="B470A3"/>
            <w:tcMar>
              <w:top w:w="72" w:type="dxa"/>
              <w:left w:w="177" w:type="dxa"/>
              <w:bottom w:w="72" w:type="dxa"/>
              <w:right w:w="177" w:type="dxa"/>
            </w:tcMar>
            <w:vAlign w:val="center"/>
            <w:hideMark/>
          </w:tcPr>
          <w:p w14:paraId="7737B1A2" w14:textId="77777777" w:rsidR="002944A0" w:rsidRPr="007E1529" w:rsidRDefault="002944A0" w:rsidP="002944A0">
            <w:pPr>
              <w:spacing w:after="0" w:line="192" w:lineRule="atLeast"/>
              <w:jc w:val="center"/>
              <w:rPr>
                <w:rFonts w:eastAsia="Times New Roman" w:cs="Arial"/>
              </w:rPr>
            </w:pPr>
            <w:r w:rsidRPr="007E1529">
              <w:rPr>
                <w:rFonts w:eastAsia="Times New Roman" w:cs="Arial"/>
                <w:b/>
                <w:bCs/>
                <w:color w:val="FFFFFF" w:themeColor="background1"/>
                <w:kern w:val="24"/>
              </w:rPr>
              <w:t>Transferred</w:t>
            </w:r>
            <w:r w:rsidRPr="007E1529">
              <w:rPr>
                <w:rFonts w:eastAsia="Times New Roman" w:cs="Arial"/>
                <w:b/>
                <w:bCs/>
                <w:color w:val="FFFFFF" w:themeColor="background1"/>
                <w:kern w:val="24"/>
              </w:rPr>
              <w:br/>
              <w:t xml:space="preserve">risks P3 </w:t>
            </w:r>
            <w:r w:rsidRPr="007E1529">
              <w:rPr>
                <w:rFonts w:eastAsia="Times New Roman" w:cs="Arial"/>
                <w:b/>
                <w:bCs/>
                <w:color w:val="FFFFFF" w:themeColor="background1"/>
                <w:kern w:val="24"/>
              </w:rPr>
              <w:br/>
              <w:t>(Column N)</w:t>
            </w:r>
          </w:p>
        </w:tc>
      </w:tr>
      <w:tr w:rsidR="002944A0" w:rsidRPr="002944A0" w14:paraId="0638F3D0" w14:textId="77777777" w:rsidTr="002944A0">
        <w:trPr>
          <w:trHeight w:val="193"/>
        </w:trPr>
        <w:tc>
          <w:tcPr>
            <w:tcW w:w="4969" w:type="dxa"/>
            <w:tcBorders>
              <w:top w:val="single" w:sz="18" w:space="0" w:color="000000"/>
              <w:left w:val="nil"/>
              <w:bottom w:val="nil"/>
              <w:right w:val="nil"/>
            </w:tcBorders>
            <w:shd w:val="clear" w:color="auto" w:fill="auto"/>
            <w:tcMar>
              <w:top w:w="72" w:type="dxa"/>
              <w:left w:w="144" w:type="dxa"/>
              <w:bottom w:w="72" w:type="dxa"/>
              <w:right w:w="144" w:type="dxa"/>
            </w:tcMar>
            <w:vAlign w:val="center"/>
            <w:hideMark/>
          </w:tcPr>
          <w:p w14:paraId="4770CFEC" w14:textId="77777777" w:rsidR="002944A0" w:rsidRPr="007E1529" w:rsidRDefault="002944A0" w:rsidP="002944A0">
            <w:pPr>
              <w:spacing w:after="0" w:line="226" w:lineRule="atLeast"/>
              <w:rPr>
                <w:rFonts w:eastAsia="Times New Roman" w:cs="Arial"/>
              </w:rPr>
            </w:pPr>
            <w:r w:rsidRPr="007E1529">
              <w:rPr>
                <w:rFonts w:eastAsia="Times New Roman" w:cs="Arial"/>
                <w:color w:val="000000" w:themeColor="dark1"/>
                <w:kern w:val="24"/>
              </w:rPr>
              <w:t>Pure risks (row 28)</w:t>
            </w:r>
          </w:p>
        </w:tc>
        <w:tc>
          <w:tcPr>
            <w:tcW w:w="1792" w:type="dxa"/>
            <w:tcBorders>
              <w:top w:val="single" w:sz="18" w:space="0" w:color="000000"/>
              <w:left w:val="nil"/>
              <w:bottom w:val="nil"/>
              <w:right w:val="nil"/>
            </w:tcBorders>
            <w:shd w:val="clear" w:color="auto" w:fill="auto"/>
            <w:tcMar>
              <w:top w:w="20" w:type="dxa"/>
              <w:left w:w="20" w:type="dxa"/>
              <w:bottom w:w="0" w:type="dxa"/>
              <w:right w:w="20" w:type="dxa"/>
            </w:tcMar>
            <w:vAlign w:val="center"/>
            <w:hideMark/>
          </w:tcPr>
          <w:p w14:paraId="4DE568D9" w14:textId="3FB83CBE" w:rsidR="002944A0" w:rsidRPr="00467F98" w:rsidRDefault="00DD4F93" w:rsidP="003769D0">
            <w:pPr>
              <w:spacing w:after="0" w:line="240" w:lineRule="auto"/>
              <w:jc w:val="center"/>
              <w:rPr>
                <w:rFonts w:eastAsia="Times New Roman" w:cs="Arial"/>
                <w:b/>
                <w:color w:val="FF0000"/>
              </w:rPr>
            </w:pPr>
            <w:r w:rsidRPr="00467F98">
              <w:rPr>
                <w:rFonts w:eastAsia="Times New Roman" w:cs="Arial"/>
                <w:b/>
                <w:color w:val="FF0000"/>
              </w:rPr>
              <w:t>121</w:t>
            </w:r>
          </w:p>
        </w:tc>
        <w:tc>
          <w:tcPr>
            <w:tcW w:w="1566" w:type="dxa"/>
            <w:tcBorders>
              <w:top w:val="single" w:sz="18" w:space="0" w:color="000000"/>
              <w:left w:val="nil"/>
              <w:bottom w:val="nil"/>
              <w:right w:val="nil"/>
            </w:tcBorders>
            <w:shd w:val="clear" w:color="auto" w:fill="auto"/>
            <w:tcMar>
              <w:top w:w="20" w:type="dxa"/>
              <w:left w:w="20" w:type="dxa"/>
              <w:bottom w:w="0" w:type="dxa"/>
              <w:right w:w="20" w:type="dxa"/>
            </w:tcMar>
            <w:vAlign w:val="center"/>
            <w:hideMark/>
          </w:tcPr>
          <w:p w14:paraId="74F43E0C" w14:textId="19FF2DC7" w:rsidR="002944A0" w:rsidRPr="00467F98" w:rsidRDefault="00DD4F93" w:rsidP="003769D0">
            <w:pPr>
              <w:spacing w:after="0" w:line="240" w:lineRule="auto"/>
              <w:jc w:val="center"/>
              <w:rPr>
                <w:rFonts w:eastAsia="Times New Roman" w:cs="Arial"/>
                <w:b/>
                <w:color w:val="FF0000"/>
              </w:rPr>
            </w:pPr>
            <w:r w:rsidRPr="00467F98">
              <w:rPr>
                <w:rFonts w:eastAsia="Times New Roman" w:cs="Arial"/>
                <w:b/>
                <w:color w:val="FF0000"/>
              </w:rPr>
              <w:t>11</w:t>
            </w:r>
          </w:p>
        </w:tc>
        <w:tc>
          <w:tcPr>
            <w:tcW w:w="1596" w:type="dxa"/>
            <w:tcBorders>
              <w:top w:val="single" w:sz="18" w:space="0" w:color="000000"/>
              <w:left w:val="nil"/>
              <w:bottom w:val="nil"/>
              <w:right w:val="nil"/>
            </w:tcBorders>
            <w:shd w:val="clear" w:color="auto" w:fill="auto"/>
            <w:tcMar>
              <w:top w:w="20" w:type="dxa"/>
              <w:left w:w="20" w:type="dxa"/>
              <w:bottom w:w="0" w:type="dxa"/>
              <w:right w:w="20" w:type="dxa"/>
            </w:tcMar>
            <w:vAlign w:val="center"/>
            <w:hideMark/>
          </w:tcPr>
          <w:p w14:paraId="58FD3DCE" w14:textId="6D8BDC38" w:rsidR="002944A0" w:rsidRPr="00467F98" w:rsidRDefault="00DD4F93" w:rsidP="003769D0">
            <w:pPr>
              <w:spacing w:after="0" w:line="240" w:lineRule="auto"/>
              <w:jc w:val="center"/>
              <w:rPr>
                <w:rFonts w:eastAsia="Times New Roman" w:cs="Arial"/>
                <w:b/>
                <w:color w:val="FF0000"/>
              </w:rPr>
            </w:pPr>
            <w:r w:rsidRPr="00467F98">
              <w:rPr>
                <w:rFonts w:eastAsia="Times New Roman" w:cs="Arial"/>
                <w:b/>
                <w:color w:val="FF0000"/>
              </w:rPr>
              <w:t>98</w:t>
            </w:r>
          </w:p>
        </w:tc>
      </w:tr>
      <w:tr w:rsidR="002944A0" w:rsidRPr="002944A0" w14:paraId="27012D86" w14:textId="77777777" w:rsidTr="002944A0">
        <w:trPr>
          <w:trHeight w:val="183"/>
        </w:trPr>
        <w:tc>
          <w:tcPr>
            <w:tcW w:w="4969" w:type="dxa"/>
            <w:tcBorders>
              <w:top w:val="nil"/>
              <w:left w:val="nil"/>
              <w:bottom w:val="nil"/>
              <w:right w:val="nil"/>
            </w:tcBorders>
            <w:shd w:val="clear" w:color="auto" w:fill="E7E7E7"/>
            <w:tcMar>
              <w:top w:w="72" w:type="dxa"/>
              <w:left w:w="144" w:type="dxa"/>
              <w:bottom w:w="72" w:type="dxa"/>
              <w:right w:w="144" w:type="dxa"/>
            </w:tcMar>
            <w:vAlign w:val="center"/>
            <w:hideMark/>
          </w:tcPr>
          <w:p w14:paraId="51EE1C39" w14:textId="77777777" w:rsidR="002944A0" w:rsidRPr="007E1529" w:rsidRDefault="002944A0" w:rsidP="002944A0">
            <w:pPr>
              <w:spacing w:after="0" w:line="214" w:lineRule="atLeast"/>
              <w:rPr>
                <w:rFonts w:eastAsia="Times New Roman" w:cs="Arial"/>
              </w:rPr>
            </w:pPr>
            <w:r w:rsidRPr="007E1529">
              <w:rPr>
                <w:rFonts w:eastAsia="Times New Roman" w:cs="Arial"/>
                <w:color w:val="000000" w:themeColor="dark1"/>
                <w:kern w:val="24"/>
              </w:rPr>
              <w:t>Base variability (row 34)</w:t>
            </w:r>
          </w:p>
        </w:tc>
        <w:tc>
          <w:tcPr>
            <w:tcW w:w="1792" w:type="dxa"/>
            <w:tcBorders>
              <w:top w:val="nil"/>
              <w:left w:val="nil"/>
              <w:bottom w:val="nil"/>
              <w:right w:val="nil"/>
            </w:tcBorders>
            <w:shd w:val="clear" w:color="auto" w:fill="E7E7E7"/>
            <w:tcMar>
              <w:top w:w="20" w:type="dxa"/>
              <w:left w:w="20" w:type="dxa"/>
              <w:bottom w:w="0" w:type="dxa"/>
              <w:right w:w="20" w:type="dxa"/>
            </w:tcMar>
            <w:vAlign w:val="center"/>
            <w:hideMark/>
          </w:tcPr>
          <w:p w14:paraId="36BD903F" w14:textId="298C41A3" w:rsidR="002944A0" w:rsidRPr="00467F98" w:rsidRDefault="00DD4F93" w:rsidP="003769D0">
            <w:pPr>
              <w:spacing w:after="0" w:line="240" w:lineRule="auto"/>
              <w:jc w:val="center"/>
              <w:rPr>
                <w:rFonts w:eastAsia="Times New Roman" w:cs="Arial"/>
                <w:b/>
                <w:color w:val="FF0000"/>
              </w:rPr>
            </w:pPr>
            <w:r w:rsidRPr="00467F98">
              <w:rPr>
                <w:rFonts w:eastAsia="Times New Roman" w:cs="Arial"/>
                <w:b/>
                <w:color w:val="FF0000"/>
              </w:rPr>
              <w:t>112</w:t>
            </w:r>
          </w:p>
        </w:tc>
        <w:tc>
          <w:tcPr>
            <w:tcW w:w="1566" w:type="dxa"/>
            <w:tcBorders>
              <w:top w:val="nil"/>
              <w:left w:val="nil"/>
              <w:bottom w:val="nil"/>
              <w:right w:val="nil"/>
            </w:tcBorders>
            <w:shd w:val="clear" w:color="auto" w:fill="E7E7E7"/>
            <w:tcMar>
              <w:top w:w="20" w:type="dxa"/>
              <w:left w:w="20" w:type="dxa"/>
              <w:bottom w:w="0" w:type="dxa"/>
              <w:right w:w="20" w:type="dxa"/>
            </w:tcMar>
            <w:vAlign w:val="center"/>
            <w:hideMark/>
          </w:tcPr>
          <w:p w14:paraId="21539D0D" w14:textId="04BED645" w:rsidR="002944A0" w:rsidRPr="00467F98" w:rsidRDefault="00DD4F93" w:rsidP="003769D0">
            <w:pPr>
              <w:spacing w:after="0" w:line="240" w:lineRule="auto"/>
              <w:jc w:val="center"/>
              <w:rPr>
                <w:rFonts w:eastAsia="Times New Roman" w:cs="Arial"/>
                <w:b/>
                <w:color w:val="FF0000"/>
              </w:rPr>
            </w:pPr>
            <w:r w:rsidRPr="00467F98">
              <w:rPr>
                <w:rFonts w:eastAsia="Times New Roman" w:cs="Arial"/>
                <w:b/>
                <w:color w:val="FF0000"/>
              </w:rPr>
              <w:t>10</w:t>
            </w:r>
          </w:p>
        </w:tc>
        <w:tc>
          <w:tcPr>
            <w:tcW w:w="1596" w:type="dxa"/>
            <w:tcBorders>
              <w:top w:val="nil"/>
              <w:left w:val="nil"/>
              <w:bottom w:val="nil"/>
              <w:right w:val="nil"/>
            </w:tcBorders>
            <w:shd w:val="clear" w:color="auto" w:fill="E7E7E7"/>
            <w:tcMar>
              <w:top w:w="20" w:type="dxa"/>
              <w:left w:w="20" w:type="dxa"/>
              <w:bottom w:w="0" w:type="dxa"/>
              <w:right w:w="20" w:type="dxa"/>
            </w:tcMar>
            <w:vAlign w:val="center"/>
            <w:hideMark/>
          </w:tcPr>
          <w:p w14:paraId="1FBCBF3C" w14:textId="282ED68E" w:rsidR="002944A0" w:rsidRPr="00467F98" w:rsidRDefault="00DD4F93" w:rsidP="003769D0">
            <w:pPr>
              <w:spacing w:after="0" w:line="240" w:lineRule="auto"/>
              <w:jc w:val="center"/>
              <w:rPr>
                <w:rFonts w:eastAsia="Times New Roman" w:cs="Arial"/>
                <w:b/>
                <w:color w:val="FF0000"/>
              </w:rPr>
            </w:pPr>
            <w:r w:rsidRPr="00467F98">
              <w:rPr>
                <w:rFonts w:eastAsia="Times New Roman" w:cs="Arial"/>
                <w:b/>
                <w:color w:val="FF0000"/>
              </w:rPr>
              <w:t>94</w:t>
            </w:r>
          </w:p>
        </w:tc>
      </w:tr>
      <w:tr w:rsidR="002944A0" w:rsidRPr="002944A0" w14:paraId="20713548" w14:textId="77777777" w:rsidTr="002944A0">
        <w:trPr>
          <w:trHeight w:val="218"/>
        </w:trPr>
        <w:tc>
          <w:tcPr>
            <w:tcW w:w="4969" w:type="dxa"/>
            <w:tcBorders>
              <w:top w:val="nil"/>
              <w:left w:val="nil"/>
              <w:bottom w:val="nil"/>
              <w:right w:val="nil"/>
            </w:tcBorders>
            <w:shd w:val="clear" w:color="auto" w:fill="auto"/>
            <w:tcMar>
              <w:top w:w="72" w:type="dxa"/>
              <w:left w:w="144" w:type="dxa"/>
              <w:bottom w:w="72" w:type="dxa"/>
              <w:right w:w="144" w:type="dxa"/>
            </w:tcMar>
            <w:vAlign w:val="center"/>
            <w:hideMark/>
          </w:tcPr>
          <w:p w14:paraId="733C4784" w14:textId="77777777" w:rsidR="002944A0" w:rsidRPr="007E1529" w:rsidRDefault="002944A0" w:rsidP="002944A0">
            <w:pPr>
              <w:spacing w:after="0" w:line="216" w:lineRule="auto"/>
              <w:rPr>
                <w:rFonts w:eastAsia="Times New Roman" w:cs="Arial"/>
              </w:rPr>
            </w:pPr>
            <w:r w:rsidRPr="007E1529">
              <w:rPr>
                <w:rFonts w:eastAsia="Times New Roman" w:cs="Arial"/>
                <w:color w:val="000000" w:themeColor="dark1"/>
                <w:kern w:val="24"/>
              </w:rPr>
              <w:t>Lifecycle performance risk premium (row 36)</w:t>
            </w:r>
          </w:p>
        </w:tc>
        <w:tc>
          <w:tcPr>
            <w:tcW w:w="1792" w:type="dxa"/>
            <w:tcBorders>
              <w:top w:val="nil"/>
              <w:left w:val="nil"/>
              <w:bottom w:val="nil"/>
              <w:right w:val="nil"/>
            </w:tcBorders>
            <w:shd w:val="clear" w:color="auto" w:fill="auto"/>
            <w:tcMar>
              <w:top w:w="20" w:type="dxa"/>
              <w:left w:w="20" w:type="dxa"/>
              <w:bottom w:w="0" w:type="dxa"/>
              <w:right w:w="20" w:type="dxa"/>
            </w:tcMar>
            <w:vAlign w:val="center"/>
            <w:hideMark/>
          </w:tcPr>
          <w:p w14:paraId="6A908AFC" w14:textId="27E9D5FC" w:rsidR="002944A0" w:rsidRPr="00467F98" w:rsidRDefault="00DD4F93" w:rsidP="003769D0">
            <w:pPr>
              <w:spacing w:after="0" w:line="240" w:lineRule="auto"/>
              <w:jc w:val="center"/>
              <w:rPr>
                <w:rFonts w:eastAsia="Times New Roman" w:cs="Arial"/>
                <w:b/>
                <w:color w:val="FF0000"/>
              </w:rPr>
            </w:pPr>
            <w:r w:rsidRPr="00467F98">
              <w:rPr>
                <w:rFonts w:eastAsia="Times New Roman" w:cs="Arial"/>
                <w:b/>
                <w:color w:val="FF0000"/>
              </w:rPr>
              <w:t>575</w:t>
            </w:r>
          </w:p>
        </w:tc>
        <w:tc>
          <w:tcPr>
            <w:tcW w:w="1566" w:type="dxa"/>
            <w:tcBorders>
              <w:top w:val="nil"/>
              <w:left w:val="nil"/>
              <w:bottom w:val="nil"/>
              <w:right w:val="nil"/>
            </w:tcBorders>
            <w:shd w:val="clear" w:color="auto" w:fill="auto"/>
            <w:tcMar>
              <w:top w:w="20" w:type="dxa"/>
              <w:left w:w="20" w:type="dxa"/>
              <w:bottom w:w="0" w:type="dxa"/>
              <w:right w:w="20" w:type="dxa"/>
            </w:tcMar>
            <w:vAlign w:val="center"/>
            <w:hideMark/>
          </w:tcPr>
          <w:p w14:paraId="4630E54D" w14:textId="6313543B" w:rsidR="002944A0" w:rsidRPr="00467F98" w:rsidRDefault="00DD4F93" w:rsidP="003769D0">
            <w:pPr>
              <w:spacing w:after="0" w:line="240" w:lineRule="auto"/>
              <w:jc w:val="center"/>
              <w:rPr>
                <w:rFonts w:eastAsia="Times New Roman" w:cs="Arial"/>
                <w:b/>
                <w:color w:val="FF0000"/>
              </w:rPr>
            </w:pPr>
            <w:r w:rsidRPr="00467F98">
              <w:rPr>
                <w:rFonts w:eastAsia="Times New Roman" w:cs="Arial"/>
                <w:b/>
                <w:color w:val="FF0000"/>
              </w:rPr>
              <w:t>-</w:t>
            </w:r>
          </w:p>
        </w:tc>
        <w:tc>
          <w:tcPr>
            <w:tcW w:w="1596" w:type="dxa"/>
            <w:tcBorders>
              <w:top w:val="nil"/>
              <w:left w:val="nil"/>
              <w:bottom w:val="nil"/>
              <w:right w:val="nil"/>
            </w:tcBorders>
            <w:shd w:val="clear" w:color="auto" w:fill="auto"/>
            <w:tcMar>
              <w:top w:w="20" w:type="dxa"/>
              <w:left w:w="20" w:type="dxa"/>
              <w:bottom w:w="0" w:type="dxa"/>
              <w:right w:w="20" w:type="dxa"/>
            </w:tcMar>
            <w:vAlign w:val="center"/>
            <w:hideMark/>
          </w:tcPr>
          <w:p w14:paraId="5CD98932" w14:textId="50C2FA90" w:rsidR="002944A0" w:rsidRPr="00467F98" w:rsidRDefault="00DD4F93" w:rsidP="003769D0">
            <w:pPr>
              <w:spacing w:after="0" w:line="240" w:lineRule="auto"/>
              <w:jc w:val="center"/>
              <w:rPr>
                <w:rFonts w:eastAsia="Times New Roman" w:cs="Arial"/>
                <w:b/>
                <w:color w:val="FF0000"/>
              </w:rPr>
            </w:pPr>
            <w:r w:rsidRPr="00467F98">
              <w:rPr>
                <w:rFonts w:eastAsia="Times New Roman" w:cs="Arial"/>
                <w:b/>
                <w:color w:val="FF0000"/>
              </w:rPr>
              <w:t>517</w:t>
            </w:r>
          </w:p>
        </w:tc>
      </w:tr>
      <w:tr w:rsidR="002944A0" w:rsidRPr="002944A0" w14:paraId="107B38B2" w14:textId="77777777" w:rsidTr="002944A0">
        <w:trPr>
          <w:trHeight w:val="218"/>
        </w:trPr>
        <w:tc>
          <w:tcPr>
            <w:tcW w:w="4969" w:type="dxa"/>
            <w:tcBorders>
              <w:top w:val="nil"/>
              <w:left w:val="nil"/>
              <w:bottom w:val="double" w:sz="12" w:space="0" w:color="000000"/>
              <w:right w:val="nil"/>
            </w:tcBorders>
            <w:shd w:val="clear" w:color="auto" w:fill="E7E7E7"/>
            <w:tcMar>
              <w:top w:w="72" w:type="dxa"/>
              <w:left w:w="144" w:type="dxa"/>
              <w:bottom w:w="72" w:type="dxa"/>
              <w:right w:w="144" w:type="dxa"/>
            </w:tcMar>
            <w:vAlign w:val="center"/>
            <w:hideMark/>
          </w:tcPr>
          <w:p w14:paraId="3215D722" w14:textId="77777777" w:rsidR="002944A0" w:rsidRPr="007E1529" w:rsidRDefault="002944A0" w:rsidP="002944A0">
            <w:pPr>
              <w:spacing w:after="0" w:line="216" w:lineRule="auto"/>
              <w:rPr>
                <w:rFonts w:eastAsia="Times New Roman" w:cs="Arial"/>
              </w:rPr>
            </w:pPr>
            <w:r w:rsidRPr="007E1529">
              <w:rPr>
                <w:rFonts w:eastAsia="Times New Roman" w:cs="Arial"/>
                <w:color w:val="000000" w:themeColor="dark1"/>
                <w:kern w:val="24"/>
              </w:rPr>
              <w:t>Revenue uncertainty adjustment (row 38)</w:t>
            </w:r>
          </w:p>
        </w:tc>
        <w:tc>
          <w:tcPr>
            <w:tcW w:w="1792" w:type="dxa"/>
            <w:tcBorders>
              <w:top w:val="nil"/>
              <w:left w:val="nil"/>
              <w:bottom w:val="double" w:sz="12" w:space="0" w:color="000000"/>
              <w:right w:val="nil"/>
            </w:tcBorders>
            <w:shd w:val="clear" w:color="auto" w:fill="E7E7E7"/>
            <w:tcMar>
              <w:top w:w="20" w:type="dxa"/>
              <w:left w:w="20" w:type="dxa"/>
              <w:bottom w:w="0" w:type="dxa"/>
              <w:right w:w="20" w:type="dxa"/>
            </w:tcMar>
            <w:vAlign w:val="center"/>
            <w:hideMark/>
          </w:tcPr>
          <w:p w14:paraId="0AEB143D" w14:textId="7793472D" w:rsidR="002944A0" w:rsidRPr="00467F98" w:rsidRDefault="00DD4F93" w:rsidP="003769D0">
            <w:pPr>
              <w:spacing w:after="0" w:line="240" w:lineRule="auto"/>
              <w:jc w:val="center"/>
              <w:rPr>
                <w:rFonts w:eastAsia="Times New Roman" w:cs="Arial"/>
                <w:b/>
                <w:color w:val="FF0000"/>
              </w:rPr>
            </w:pPr>
            <w:r w:rsidRPr="00467F98">
              <w:rPr>
                <w:rFonts w:eastAsia="Times New Roman" w:cs="Arial"/>
                <w:b/>
                <w:color w:val="FF0000"/>
              </w:rPr>
              <w:t>579</w:t>
            </w:r>
          </w:p>
        </w:tc>
        <w:tc>
          <w:tcPr>
            <w:tcW w:w="1566" w:type="dxa"/>
            <w:tcBorders>
              <w:top w:val="nil"/>
              <w:left w:val="nil"/>
              <w:bottom w:val="double" w:sz="12" w:space="0" w:color="000000"/>
              <w:right w:val="nil"/>
            </w:tcBorders>
            <w:shd w:val="clear" w:color="auto" w:fill="E7E7E7"/>
            <w:tcMar>
              <w:top w:w="20" w:type="dxa"/>
              <w:left w:w="20" w:type="dxa"/>
              <w:bottom w:w="0" w:type="dxa"/>
              <w:right w:w="20" w:type="dxa"/>
            </w:tcMar>
            <w:vAlign w:val="center"/>
            <w:hideMark/>
          </w:tcPr>
          <w:p w14:paraId="77741650" w14:textId="681E9131" w:rsidR="002944A0" w:rsidRPr="00467F98" w:rsidRDefault="00DD4F93" w:rsidP="003769D0">
            <w:pPr>
              <w:spacing w:after="0" w:line="240" w:lineRule="auto"/>
              <w:jc w:val="center"/>
              <w:rPr>
                <w:rFonts w:eastAsia="Times New Roman" w:cs="Arial"/>
                <w:b/>
                <w:color w:val="FF0000"/>
              </w:rPr>
            </w:pPr>
            <w:r w:rsidRPr="00467F98">
              <w:rPr>
                <w:rFonts w:eastAsia="Times New Roman" w:cs="Arial"/>
                <w:b/>
                <w:color w:val="FF0000"/>
              </w:rPr>
              <w:t>-</w:t>
            </w:r>
          </w:p>
        </w:tc>
        <w:tc>
          <w:tcPr>
            <w:tcW w:w="1596" w:type="dxa"/>
            <w:tcBorders>
              <w:top w:val="nil"/>
              <w:left w:val="nil"/>
              <w:bottom w:val="double" w:sz="12" w:space="0" w:color="000000"/>
              <w:right w:val="nil"/>
            </w:tcBorders>
            <w:shd w:val="clear" w:color="auto" w:fill="E7E7E7"/>
            <w:tcMar>
              <w:top w:w="20" w:type="dxa"/>
              <w:left w:w="20" w:type="dxa"/>
              <w:bottom w:w="0" w:type="dxa"/>
              <w:right w:w="20" w:type="dxa"/>
            </w:tcMar>
            <w:vAlign w:val="center"/>
            <w:hideMark/>
          </w:tcPr>
          <w:p w14:paraId="3B88F712" w14:textId="77B4EAC6" w:rsidR="002944A0" w:rsidRPr="00467F98" w:rsidRDefault="00DD4F93" w:rsidP="003769D0">
            <w:pPr>
              <w:spacing w:after="0" w:line="240" w:lineRule="auto"/>
              <w:jc w:val="center"/>
              <w:rPr>
                <w:rFonts w:eastAsia="Times New Roman" w:cs="Arial"/>
                <w:b/>
                <w:color w:val="FF0000"/>
              </w:rPr>
            </w:pPr>
            <w:r w:rsidRPr="00467F98">
              <w:rPr>
                <w:rFonts w:eastAsia="Times New Roman" w:cs="Arial"/>
                <w:b/>
                <w:color w:val="FF0000"/>
              </w:rPr>
              <w:t>586</w:t>
            </w:r>
          </w:p>
        </w:tc>
      </w:tr>
      <w:tr w:rsidR="002944A0" w:rsidRPr="002944A0" w14:paraId="5E8B2325" w14:textId="77777777" w:rsidTr="002944A0">
        <w:trPr>
          <w:trHeight w:val="192"/>
        </w:trPr>
        <w:tc>
          <w:tcPr>
            <w:tcW w:w="4969" w:type="dxa"/>
            <w:tcBorders>
              <w:top w:val="double" w:sz="12" w:space="0" w:color="000000"/>
              <w:left w:val="nil"/>
              <w:bottom w:val="single" w:sz="18" w:space="0" w:color="000000"/>
              <w:right w:val="nil"/>
            </w:tcBorders>
            <w:shd w:val="clear" w:color="auto" w:fill="auto"/>
            <w:tcMar>
              <w:top w:w="72" w:type="dxa"/>
              <w:left w:w="144" w:type="dxa"/>
              <w:bottom w:w="72" w:type="dxa"/>
              <w:right w:w="144" w:type="dxa"/>
            </w:tcMar>
            <w:vAlign w:val="center"/>
            <w:hideMark/>
          </w:tcPr>
          <w:p w14:paraId="623ABF42" w14:textId="58DD384F" w:rsidR="002944A0" w:rsidRPr="007E1529" w:rsidRDefault="002944A0" w:rsidP="002944A0">
            <w:pPr>
              <w:spacing w:after="0" w:line="224" w:lineRule="atLeast"/>
              <w:rPr>
                <w:rFonts w:eastAsia="Times New Roman" w:cs="Arial"/>
              </w:rPr>
            </w:pPr>
            <w:r w:rsidRPr="007E1529">
              <w:rPr>
                <w:rFonts w:eastAsia="Times New Roman" w:cs="Arial"/>
                <w:b/>
                <w:bCs/>
                <w:color w:val="000000" w:themeColor="dark1"/>
                <w:kern w:val="24"/>
              </w:rPr>
              <w:t>Total risks</w:t>
            </w:r>
            <w:r w:rsidR="00DD4F93">
              <w:rPr>
                <w:rFonts w:eastAsia="Times New Roman" w:cs="Arial"/>
                <w:b/>
                <w:bCs/>
                <w:color w:val="000000" w:themeColor="dark1"/>
                <w:kern w:val="24"/>
              </w:rPr>
              <w:t xml:space="preserve"> (row 45)</w:t>
            </w:r>
          </w:p>
        </w:tc>
        <w:tc>
          <w:tcPr>
            <w:tcW w:w="1792" w:type="dxa"/>
            <w:tcBorders>
              <w:top w:val="double" w:sz="12" w:space="0" w:color="000000"/>
              <w:left w:val="nil"/>
              <w:bottom w:val="single" w:sz="18" w:space="0" w:color="000000"/>
              <w:right w:val="nil"/>
            </w:tcBorders>
            <w:shd w:val="clear" w:color="auto" w:fill="auto"/>
            <w:tcMar>
              <w:top w:w="20" w:type="dxa"/>
              <w:left w:w="20" w:type="dxa"/>
              <w:bottom w:w="0" w:type="dxa"/>
              <w:right w:w="20" w:type="dxa"/>
            </w:tcMar>
            <w:vAlign w:val="center"/>
            <w:hideMark/>
          </w:tcPr>
          <w:p w14:paraId="02C82278" w14:textId="729FB64C" w:rsidR="002944A0" w:rsidRPr="00467F98" w:rsidRDefault="00DD4F93" w:rsidP="003769D0">
            <w:pPr>
              <w:spacing w:after="0" w:line="240" w:lineRule="auto"/>
              <w:jc w:val="center"/>
              <w:rPr>
                <w:rFonts w:eastAsia="Times New Roman" w:cs="Arial"/>
                <w:b/>
                <w:color w:val="FF0000"/>
              </w:rPr>
            </w:pPr>
            <w:r w:rsidRPr="00467F98">
              <w:rPr>
                <w:rFonts w:eastAsia="Times New Roman" w:cs="Arial"/>
                <w:b/>
                <w:color w:val="FF0000"/>
              </w:rPr>
              <w:t>1,387</w:t>
            </w:r>
          </w:p>
        </w:tc>
        <w:tc>
          <w:tcPr>
            <w:tcW w:w="1566" w:type="dxa"/>
            <w:tcBorders>
              <w:top w:val="double" w:sz="12" w:space="0" w:color="000000"/>
              <w:left w:val="nil"/>
              <w:bottom w:val="single" w:sz="18" w:space="0" w:color="000000"/>
              <w:right w:val="nil"/>
            </w:tcBorders>
            <w:shd w:val="clear" w:color="auto" w:fill="auto"/>
            <w:tcMar>
              <w:top w:w="20" w:type="dxa"/>
              <w:left w:w="20" w:type="dxa"/>
              <w:bottom w:w="0" w:type="dxa"/>
              <w:right w:w="20" w:type="dxa"/>
            </w:tcMar>
            <w:vAlign w:val="center"/>
            <w:hideMark/>
          </w:tcPr>
          <w:p w14:paraId="52DF00C0" w14:textId="742171ED" w:rsidR="002944A0" w:rsidRPr="00467F98" w:rsidRDefault="00DD4F93" w:rsidP="003769D0">
            <w:pPr>
              <w:spacing w:after="0" w:line="240" w:lineRule="auto"/>
              <w:jc w:val="center"/>
              <w:rPr>
                <w:rFonts w:eastAsia="Times New Roman" w:cs="Arial"/>
                <w:b/>
                <w:color w:val="FF0000"/>
              </w:rPr>
            </w:pPr>
            <w:r w:rsidRPr="00467F98">
              <w:rPr>
                <w:rFonts w:eastAsia="Times New Roman" w:cs="Arial"/>
                <w:b/>
                <w:color w:val="FF0000"/>
              </w:rPr>
              <w:t>21</w:t>
            </w:r>
          </w:p>
        </w:tc>
        <w:tc>
          <w:tcPr>
            <w:tcW w:w="1596" w:type="dxa"/>
            <w:tcBorders>
              <w:top w:val="double" w:sz="12" w:space="0" w:color="000000"/>
              <w:left w:val="nil"/>
              <w:bottom w:val="single" w:sz="18" w:space="0" w:color="000000"/>
              <w:right w:val="nil"/>
            </w:tcBorders>
            <w:shd w:val="clear" w:color="auto" w:fill="auto"/>
            <w:tcMar>
              <w:top w:w="20" w:type="dxa"/>
              <w:left w:w="20" w:type="dxa"/>
              <w:bottom w:w="0" w:type="dxa"/>
              <w:right w:w="20" w:type="dxa"/>
            </w:tcMar>
            <w:vAlign w:val="center"/>
            <w:hideMark/>
          </w:tcPr>
          <w:p w14:paraId="502CB791" w14:textId="421C75BA" w:rsidR="002944A0" w:rsidRPr="00467F98" w:rsidRDefault="00DD4F93" w:rsidP="003769D0">
            <w:pPr>
              <w:spacing w:after="0" w:line="240" w:lineRule="auto"/>
              <w:jc w:val="center"/>
              <w:rPr>
                <w:rFonts w:eastAsia="Times New Roman" w:cs="Arial"/>
                <w:b/>
                <w:color w:val="FF0000"/>
              </w:rPr>
            </w:pPr>
            <w:r w:rsidRPr="00467F98">
              <w:rPr>
                <w:rFonts w:eastAsia="Times New Roman" w:cs="Arial"/>
                <w:b/>
                <w:color w:val="FF0000"/>
              </w:rPr>
              <w:t>1,295</w:t>
            </w:r>
          </w:p>
        </w:tc>
      </w:tr>
    </w:tbl>
    <w:p w14:paraId="2EBB6C43" w14:textId="77777777" w:rsidR="00467F98" w:rsidRDefault="00467F98" w:rsidP="002944A0">
      <w:pPr>
        <w:rPr>
          <w:iCs/>
        </w:rPr>
      </w:pPr>
    </w:p>
    <w:p w14:paraId="35AB40B6" w14:textId="77777777" w:rsidR="002944A0" w:rsidRPr="002944A0" w:rsidRDefault="002944A0" w:rsidP="002944A0">
      <w:pPr>
        <w:rPr>
          <w:iCs/>
        </w:rPr>
      </w:pPr>
      <w:r w:rsidRPr="002944A0">
        <w:rPr>
          <w:iCs/>
        </w:rPr>
        <w:t xml:space="preserve">Please fill in the blanks below (see </w:t>
      </w:r>
      <w:r w:rsidRPr="007E1529">
        <w:rPr>
          <w:b/>
          <w:bCs/>
          <w:i/>
          <w:iCs/>
        </w:rPr>
        <w:t>Risk Output for VfM</w:t>
      </w:r>
      <w:r w:rsidRPr="002944A0">
        <w:rPr>
          <w:b/>
          <w:bCs/>
          <w:iCs/>
        </w:rPr>
        <w:t xml:space="preserve"> </w:t>
      </w:r>
      <w:r w:rsidRPr="002944A0">
        <w:rPr>
          <w:iCs/>
        </w:rPr>
        <w:t>sheet):</w:t>
      </w:r>
    </w:p>
    <w:p w14:paraId="05DE6162" w14:textId="086509C8" w:rsidR="003E5960" w:rsidRPr="002944A0" w:rsidRDefault="0042183E" w:rsidP="00467F98">
      <w:pPr>
        <w:numPr>
          <w:ilvl w:val="0"/>
          <w:numId w:val="18"/>
        </w:numPr>
        <w:spacing w:after="0"/>
        <w:rPr>
          <w:iCs/>
        </w:rPr>
      </w:pPr>
      <w:r w:rsidRPr="002944A0">
        <w:rPr>
          <w:iCs/>
        </w:rPr>
        <w:t xml:space="preserve">Nominal value of risks </w:t>
      </w:r>
      <w:r w:rsidR="007E1529">
        <w:rPr>
          <w:iCs/>
        </w:rPr>
        <w:t xml:space="preserve">(all </w:t>
      </w:r>
      <w:r w:rsidRPr="002944A0">
        <w:rPr>
          <w:iCs/>
        </w:rPr>
        <w:t>retained by Agency</w:t>
      </w:r>
      <w:r w:rsidR="007E1529">
        <w:rPr>
          <w:iCs/>
        </w:rPr>
        <w:t>)</w:t>
      </w:r>
      <w:r w:rsidRPr="002944A0">
        <w:rPr>
          <w:iCs/>
        </w:rPr>
        <w:t xml:space="preserve"> under PSC </w:t>
      </w:r>
      <w:r w:rsidR="002944A0">
        <w:rPr>
          <w:iCs/>
        </w:rPr>
        <w:tab/>
      </w:r>
      <w:r w:rsidRPr="002944A0">
        <w:rPr>
          <w:iCs/>
        </w:rPr>
        <w:t>$__</w:t>
      </w:r>
      <w:r w:rsidR="008E6AF8" w:rsidRPr="00467F98">
        <w:rPr>
          <w:b/>
          <w:iCs/>
          <w:color w:val="FF0000"/>
        </w:rPr>
        <w:t>1,387</w:t>
      </w:r>
      <w:r w:rsidRPr="002944A0">
        <w:rPr>
          <w:iCs/>
        </w:rPr>
        <w:t>____M</w:t>
      </w:r>
    </w:p>
    <w:p w14:paraId="3F4AA938" w14:textId="27350584" w:rsidR="003E5960" w:rsidRPr="002944A0" w:rsidRDefault="0042183E" w:rsidP="00467F98">
      <w:pPr>
        <w:numPr>
          <w:ilvl w:val="0"/>
          <w:numId w:val="18"/>
        </w:numPr>
        <w:spacing w:after="0"/>
        <w:rPr>
          <w:iCs/>
        </w:rPr>
      </w:pPr>
      <w:r w:rsidRPr="002944A0">
        <w:rPr>
          <w:iCs/>
        </w:rPr>
        <w:t xml:space="preserve">Nominal value of total </w:t>
      </w:r>
      <w:r w:rsidR="007E1529">
        <w:rPr>
          <w:iCs/>
        </w:rPr>
        <w:t>(</w:t>
      </w:r>
      <w:r w:rsidRPr="002944A0">
        <w:rPr>
          <w:iCs/>
        </w:rPr>
        <w:t>retained + transferred</w:t>
      </w:r>
      <w:r w:rsidR="007E1529">
        <w:rPr>
          <w:iCs/>
        </w:rPr>
        <w:t>)</w:t>
      </w:r>
      <w:r w:rsidRPr="002944A0">
        <w:rPr>
          <w:iCs/>
        </w:rPr>
        <w:t xml:space="preserve"> risks under P3     $___</w:t>
      </w:r>
      <w:r w:rsidR="008E6AF8" w:rsidRPr="00467F98">
        <w:rPr>
          <w:b/>
          <w:iCs/>
          <w:color w:val="FF0000"/>
        </w:rPr>
        <w:t>1,316</w:t>
      </w:r>
      <w:r w:rsidRPr="00467F98">
        <w:rPr>
          <w:b/>
          <w:iCs/>
          <w:color w:val="FF0000"/>
        </w:rPr>
        <w:t>___</w:t>
      </w:r>
      <w:r w:rsidRPr="002944A0">
        <w:rPr>
          <w:iCs/>
        </w:rPr>
        <w:t>M</w:t>
      </w:r>
    </w:p>
    <w:p w14:paraId="2E4AA129" w14:textId="382153D9" w:rsidR="003E5960" w:rsidRPr="002944A0" w:rsidRDefault="0042183E" w:rsidP="00467F98">
      <w:pPr>
        <w:numPr>
          <w:ilvl w:val="0"/>
          <w:numId w:val="18"/>
        </w:numPr>
        <w:spacing w:after="0"/>
        <w:rPr>
          <w:iCs/>
        </w:rPr>
      </w:pPr>
      <w:r w:rsidRPr="002944A0">
        <w:rPr>
          <w:iCs/>
        </w:rPr>
        <w:t xml:space="preserve">Nominal value of difference                                           </w:t>
      </w:r>
      <w:r w:rsidRPr="002944A0">
        <w:rPr>
          <w:iCs/>
        </w:rPr>
        <w:tab/>
        <w:t xml:space="preserve">        </w:t>
      </w:r>
      <w:r w:rsidR="002944A0">
        <w:rPr>
          <w:iCs/>
        </w:rPr>
        <w:tab/>
      </w:r>
      <w:r w:rsidRPr="002944A0">
        <w:rPr>
          <w:iCs/>
        </w:rPr>
        <w:t>$___</w:t>
      </w:r>
      <w:r w:rsidR="008E6AF8" w:rsidRPr="00467F98">
        <w:rPr>
          <w:b/>
          <w:iCs/>
          <w:color w:val="FF0000"/>
        </w:rPr>
        <w:t>71</w:t>
      </w:r>
      <w:r w:rsidRPr="002944A0">
        <w:rPr>
          <w:iCs/>
        </w:rPr>
        <w:t>___M</w:t>
      </w:r>
    </w:p>
    <w:p w14:paraId="4E986835" w14:textId="77777777" w:rsidR="00467F98" w:rsidRDefault="00467F98" w:rsidP="002944A0"/>
    <w:p w14:paraId="2740CAA2" w14:textId="77777777" w:rsidR="002944A0" w:rsidRPr="002066E5" w:rsidRDefault="002944A0" w:rsidP="002944A0">
      <w:r w:rsidRPr="002066E5">
        <w:t>Below, please res</w:t>
      </w:r>
      <w:r>
        <w:t>pond to the following questions; we will also discuss them at the webinar</w:t>
      </w:r>
      <w:r w:rsidRPr="002066E5">
        <w:t>:</w:t>
      </w:r>
    </w:p>
    <w:p w14:paraId="03A1BF0F" w14:textId="1C8B7790" w:rsidR="003E5960" w:rsidRPr="003769D0" w:rsidRDefault="000F7985" w:rsidP="00467F98">
      <w:pPr>
        <w:numPr>
          <w:ilvl w:val="0"/>
          <w:numId w:val="20"/>
        </w:numPr>
        <w:tabs>
          <w:tab w:val="clear" w:pos="720"/>
          <w:tab w:val="num" w:pos="360"/>
        </w:tabs>
        <w:ind w:left="360"/>
        <w:rPr>
          <w:iCs/>
        </w:rPr>
      </w:pPr>
      <w:r w:rsidRPr="003769D0">
        <w:rPr>
          <w:iCs/>
        </w:rPr>
        <w:t>Did the nominal values</w:t>
      </w:r>
      <w:r>
        <w:rPr>
          <w:iCs/>
        </w:rPr>
        <w:t xml:space="preserve"> of the PSC and P3</w:t>
      </w:r>
      <w:r w:rsidRPr="003769D0">
        <w:rPr>
          <w:iCs/>
        </w:rPr>
        <w:t xml:space="preserve"> increase or decrease</w:t>
      </w:r>
      <w:r>
        <w:rPr>
          <w:iCs/>
        </w:rPr>
        <w:t xml:space="preserve"> relative to the base values you calculated in Step 2 of Part A</w:t>
      </w:r>
      <w:r w:rsidR="0042183E" w:rsidRPr="003769D0">
        <w:rPr>
          <w:iCs/>
        </w:rPr>
        <w:t>? Can you explain why?</w:t>
      </w:r>
    </w:p>
    <w:p w14:paraId="2C21E4F3" w14:textId="25F04249" w:rsidR="007E1529" w:rsidRPr="00634F8A" w:rsidRDefault="008E6AF8" w:rsidP="00467F98">
      <w:pPr>
        <w:ind w:left="360"/>
        <w:rPr>
          <w:b/>
          <w:iCs/>
        </w:rPr>
      </w:pPr>
      <w:r w:rsidRPr="00634F8A">
        <w:rPr>
          <w:b/>
          <w:iCs/>
          <w:color w:val="FF0000"/>
        </w:rPr>
        <w:lastRenderedPageBreak/>
        <w:t xml:space="preserve">The nominal values increased. Before increasing the WACC and revenue uncertainty adjustment input, nominal PSC risks retained by the agency were $1,184 M, and retained and transferred by the agency under P3 were $1,110 M. After the adjustments, the nominal risks under PSC and P3 were $1,387 M and $1,316 M respectively. This increase is due </w:t>
      </w:r>
      <w:r w:rsidR="00484B57" w:rsidRPr="00634F8A">
        <w:rPr>
          <w:b/>
          <w:iCs/>
          <w:color w:val="FF0000"/>
        </w:rPr>
        <w:t>to capital being more expensive or a higher WACC, which in a toll concession, reflects both lifecycle performance risk and revenue uncertainty increases.</w:t>
      </w:r>
    </w:p>
    <w:p w14:paraId="6F2B5FF6" w14:textId="3B8AE54C" w:rsidR="003E5960" w:rsidRPr="003769D0" w:rsidRDefault="0042183E" w:rsidP="00467F98">
      <w:pPr>
        <w:numPr>
          <w:ilvl w:val="0"/>
          <w:numId w:val="20"/>
        </w:numPr>
        <w:tabs>
          <w:tab w:val="clear" w:pos="720"/>
          <w:tab w:val="num" w:pos="360"/>
        </w:tabs>
        <w:ind w:left="360"/>
        <w:rPr>
          <w:iCs/>
        </w:rPr>
      </w:pPr>
      <w:r w:rsidRPr="003769D0">
        <w:rPr>
          <w:iCs/>
        </w:rPr>
        <w:t xml:space="preserve">We only changed </w:t>
      </w:r>
      <w:r w:rsidR="00D26DF5">
        <w:rPr>
          <w:iCs/>
        </w:rPr>
        <w:t xml:space="preserve">financial </w:t>
      </w:r>
      <w:r w:rsidRPr="003769D0">
        <w:rPr>
          <w:iCs/>
        </w:rPr>
        <w:t xml:space="preserve">input values for the P3. Yet the values of risks under </w:t>
      </w:r>
      <w:r w:rsidR="007E1529" w:rsidRPr="003769D0">
        <w:rPr>
          <w:iCs/>
        </w:rPr>
        <w:t xml:space="preserve">Conventional Delivery </w:t>
      </w:r>
      <w:r w:rsidRPr="003769D0">
        <w:rPr>
          <w:iCs/>
        </w:rPr>
        <w:t>also changed.  Can you explain why?</w:t>
      </w:r>
    </w:p>
    <w:p w14:paraId="384F7967" w14:textId="171127AC" w:rsidR="007E1529" w:rsidRPr="00634F8A" w:rsidRDefault="00C557C4" w:rsidP="00467F98">
      <w:pPr>
        <w:ind w:left="360"/>
        <w:rPr>
          <w:b/>
          <w:iCs/>
          <w:color w:val="FF0000"/>
        </w:rPr>
      </w:pPr>
      <w:r w:rsidRPr="00C557C4">
        <w:rPr>
          <w:b/>
          <w:iCs/>
          <w:color w:val="FF0000"/>
        </w:rPr>
        <w:t>Values of lifecycle performance risk and revenue uncertainty adjustment under PSC are calculated using P3 financing terms. In this particular case, the change in P3 WACC lead</w:t>
      </w:r>
      <w:r>
        <w:rPr>
          <w:b/>
          <w:iCs/>
          <w:color w:val="FF0000"/>
        </w:rPr>
        <w:t>s</w:t>
      </w:r>
      <w:r w:rsidRPr="00C557C4">
        <w:rPr>
          <w:b/>
          <w:iCs/>
          <w:color w:val="FF0000"/>
        </w:rPr>
        <w:t xml:space="preserve"> mainly to an increase in the revenue uncertainty adjustment input</w:t>
      </w:r>
      <w:r w:rsidR="007C3B79" w:rsidRPr="00634F8A">
        <w:rPr>
          <w:b/>
          <w:iCs/>
          <w:color w:val="FF0000"/>
        </w:rPr>
        <w:t>.</w:t>
      </w:r>
    </w:p>
    <w:p w14:paraId="6E0D6570" w14:textId="037FA648" w:rsidR="003E5960" w:rsidRPr="003769D0" w:rsidRDefault="0042183E" w:rsidP="00467F98">
      <w:pPr>
        <w:numPr>
          <w:ilvl w:val="0"/>
          <w:numId w:val="20"/>
        </w:numPr>
        <w:tabs>
          <w:tab w:val="clear" w:pos="720"/>
          <w:tab w:val="num" w:pos="360"/>
        </w:tabs>
        <w:ind w:left="360"/>
        <w:rPr>
          <w:iCs/>
        </w:rPr>
      </w:pPr>
      <w:r w:rsidRPr="003769D0">
        <w:rPr>
          <w:iCs/>
        </w:rPr>
        <w:t>Does</w:t>
      </w:r>
      <w:r w:rsidR="008A13C8" w:rsidRPr="003769D0">
        <w:rPr>
          <w:iCs/>
        </w:rPr>
        <w:t xml:space="preserve"> the difference still indicate </w:t>
      </w:r>
      <w:r w:rsidRPr="003769D0">
        <w:rPr>
          <w:iCs/>
        </w:rPr>
        <w:t xml:space="preserve">that the overall risk transfer </w:t>
      </w:r>
      <w:r w:rsidR="008A13C8" w:rsidRPr="003769D0">
        <w:rPr>
          <w:iCs/>
        </w:rPr>
        <w:t>would be</w:t>
      </w:r>
      <w:r w:rsidRPr="003769D0">
        <w:rPr>
          <w:iCs/>
        </w:rPr>
        <w:t xml:space="preserve"> beneficial to the Agency?</w:t>
      </w:r>
    </w:p>
    <w:p w14:paraId="3E867BCB" w14:textId="59C62110" w:rsidR="008A13C8" w:rsidRPr="00634F8A" w:rsidRDefault="007C3B79" w:rsidP="00467F98">
      <w:pPr>
        <w:ind w:left="360"/>
        <w:rPr>
          <w:b/>
          <w:iCs/>
          <w:color w:val="FF0000"/>
        </w:rPr>
      </w:pPr>
      <w:r w:rsidRPr="00634F8A">
        <w:rPr>
          <w:b/>
          <w:iCs/>
          <w:color w:val="FF0000"/>
        </w:rPr>
        <w:t xml:space="preserve">Yes. The total nominal risks under P3 scenario are $71 M less than the total nominal risks under the PSC scenario. </w:t>
      </w:r>
    </w:p>
    <w:p w14:paraId="12F96A4F" w14:textId="6DD2B132" w:rsidR="003E5960" w:rsidRPr="003769D0" w:rsidRDefault="0042183E" w:rsidP="00467F98">
      <w:pPr>
        <w:numPr>
          <w:ilvl w:val="0"/>
          <w:numId w:val="20"/>
        </w:numPr>
        <w:tabs>
          <w:tab w:val="clear" w:pos="720"/>
          <w:tab w:val="num" w:pos="360"/>
        </w:tabs>
        <w:ind w:left="360"/>
        <w:rPr>
          <w:iCs/>
        </w:rPr>
      </w:pPr>
      <w:r w:rsidRPr="003769D0">
        <w:rPr>
          <w:iCs/>
        </w:rPr>
        <w:t xml:space="preserve">How do you think subsidized debt (such as TIFIA) will impact the </w:t>
      </w:r>
      <w:r w:rsidR="00D26DF5">
        <w:rPr>
          <w:iCs/>
        </w:rPr>
        <w:t>estimated value</w:t>
      </w:r>
      <w:r w:rsidR="00D26DF5" w:rsidRPr="003769D0">
        <w:rPr>
          <w:iCs/>
        </w:rPr>
        <w:t xml:space="preserve"> </w:t>
      </w:r>
      <w:r w:rsidRPr="003769D0">
        <w:rPr>
          <w:iCs/>
        </w:rPr>
        <w:t xml:space="preserve">of the lifecycle performance risk? </w:t>
      </w:r>
      <w:r w:rsidR="008A13C8" w:rsidRPr="003769D0">
        <w:rPr>
          <w:iCs/>
        </w:rPr>
        <w:t>For a fair comparison between Conventional Delivery and P3, w</w:t>
      </w:r>
      <w:r w:rsidRPr="003769D0">
        <w:rPr>
          <w:iCs/>
        </w:rPr>
        <w:t xml:space="preserve">ould you </w:t>
      </w:r>
      <w:r w:rsidR="008A13C8" w:rsidRPr="003769D0">
        <w:rPr>
          <w:iCs/>
        </w:rPr>
        <w:t xml:space="preserve">need to </w:t>
      </w:r>
      <w:r w:rsidRPr="003769D0">
        <w:rPr>
          <w:iCs/>
        </w:rPr>
        <w:t>adjust for this</w:t>
      </w:r>
      <w:r w:rsidR="008A13C8" w:rsidRPr="003769D0">
        <w:rPr>
          <w:iCs/>
        </w:rPr>
        <w:t>, assuming that the WACC is used to estimate the revenue uncertainty and lifecycle performance risks for both Conventional and P3 delivery</w:t>
      </w:r>
      <w:r w:rsidRPr="003769D0">
        <w:rPr>
          <w:iCs/>
        </w:rPr>
        <w:t xml:space="preserve">? </w:t>
      </w:r>
    </w:p>
    <w:p w14:paraId="4DDA8CB0" w14:textId="07B12B67" w:rsidR="002944A0" w:rsidRPr="00634F8A" w:rsidRDefault="00C028AB" w:rsidP="00467F98">
      <w:pPr>
        <w:ind w:left="360"/>
        <w:rPr>
          <w:b/>
          <w:iCs/>
          <w:color w:val="FF0000"/>
        </w:rPr>
      </w:pPr>
      <w:r w:rsidRPr="00634F8A">
        <w:rPr>
          <w:b/>
          <w:iCs/>
          <w:color w:val="FF0000"/>
        </w:rPr>
        <w:t xml:space="preserve">Subsidized debt such as TIFIA can result in lower interest rates and therefore a lower WACC. This will </w:t>
      </w:r>
      <w:r w:rsidR="00AE2F2E" w:rsidRPr="00634F8A">
        <w:rPr>
          <w:b/>
          <w:iCs/>
          <w:color w:val="FF0000"/>
        </w:rPr>
        <w:t>lower the</w:t>
      </w:r>
      <w:r w:rsidRPr="00634F8A">
        <w:rPr>
          <w:b/>
          <w:iCs/>
          <w:color w:val="FF0000"/>
        </w:rPr>
        <w:t xml:space="preserve"> </w:t>
      </w:r>
      <w:r w:rsidR="00D26DF5" w:rsidRPr="00634F8A">
        <w:rPr>
          <w:b/>
          <w:iCs/>
          <w:color w:val="FF0000"/>
        </w:rPr>
        <w:t xml:space="preserve">estimated value of </w:t>
      </w:r>
      <w:r w:rsidRPr="00634F8A">
        <w:rPr>
          <w:b/>
          <w:iCs/>
          <w:color w:val="FF0000"/>
        </w:rPr>
        <w:t xml:space="preserve">the lifecycle performance risk, which is based on </w:t>
      </w:r>
      <w:r w:rsidR="00D26DF5" w:rsidRPr="00634F8A">
        <w:rPr>
          <w:b/>
          <w:iCs/>
          <w:color w:val="FF0000"/>
        </w:rPr>
        <w:t xml:space="preserve">the WACC.  Since the risk is estimated using the same (lower) WACC for </w:t>
      </w:r>
      <w:r w:rsidR="00634F8A" w:rsidRPr="00634F8A">
        <w:rPr>
          <w:b/>
          <w:iCs/>
          <w:color w:val="FF0000"/>
        </w:rPr>
        <w:t>PSC</w:t>
      </w:r>
      <w:r w:rsidR="00D26DF5" w:rsidRPr="00634F8A">
        <w:rPr>
          <w:b/>
          <w:iCs/>
          <w:color w:val="FF0000"/>
        </w:rPr>
        <w:t xml:space="preserve"> as well as the P3, the NPV of both PSC and P3 lifecycle performance risks will be underestimated by equal </w:t>
      </w:r>
      <w:r w:rsidR="00D272A2" w:rsidRPr="00634F8A">
        <w:rPr>
          <w:b/>
          <w:iCs/>
          <w:color w:val="FF0000"/>
        </w:rPr>
        <w:t xml:space="preserve">proportions. Therefore, no adjustment for TIFIA subsidies would be needed if our only purpose is to conduct a fair comparison. However, if our purpose is to estimate the true value of the lifecycle performance risk itself, a market-based WACC (such as we have used in this example) would need to be used. </w:t>
      </w:r>
      <w:r w:rsidR="00D26DF5" w:rsidRPr="00634F8A">
        <w:rPr>
          <w:b/>
          <w:iCs/>
          <w:color w:val="FF0000"/>
        </w:rPr>
        <w:t xml:space="preserve"> </w:t>
      </w:r>
    </w:p>
    <w:p w14:paraId="47896123" w14:textId="77777777" w:rsidR="003769D0" w:rsidRDefault="003769D0" w:rsidP="00467F98">
      <w:pPr>
        <w:ind w:left="360"/>
        <w:rPr>
          <w:iCs/>
        </w:rPr>
      </w:pPr>
    </w:p>
    <w:p w14:paraId="7C60697B" w14:textId="77777777" w:rsidR="003769D0" w:rsidRDefault="003769D0" w:rsidP="003769D0">
      <w:pPr>
        <w:ind w:left="720"/>
        <w:rPr>
          <w:iCs/>
        </w:rPr>
      </w:pPr>
    </w:p>
    <w:p w14:paraId="19BB97DC" w14:textId="77777777" w:rsidR="003769D0" w:rsidRPr="00F016E8" w:rsidRDefault="003769D0" w:rsidP="003769D0">
      <w:pPr>
        <w:ind w:left="720"/>
        <w:rPr>
          <w:iCs/>
        </w:rPr>
      </w:pPr>
      <w:bookmarkStart w:id="0" w:name="_GoBack"/>
      <w:bookmarkEnd w:id="0"/>
    </w:p>
    <w:sectPr w:rsidR="003769D0" w:rsidRPr="00F016E8" w:rsidSect="002944A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61D414" w14:textId="77777777" w:rsidR="003C255D" w:rsidRDefault="003C255D" w:rsidP="00556929">
      <w:pPr>
        <w:spacing w:after="0" w:line="240" w:lineRule="auto"/>
      </w:pPr>
      <w:r>
        <w:separator/>
      </w:r>
    </w:p>
  </w:endnote>
  <w:endnote w:type="continuationSeparator" w:id="0">
    <w:p w14:paraId="73268DFF" w14:textId="77777777" w:rsidR="003C255D" w:rsidRDefault="003C255D" w:rsidP="00556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1266237"/>
      <w:docPartObj>
        <w:docPartGallery w:val="Page Numbers (Bottom of Page)"/>
        <w:docPartUnique/>
      </w:docPartObj>
    </w:sdtPr>
    <w:sdtEndPr>
      <w:rPr>
        <w:noProof/>
      </w:rPr>
    </w:sdtEndPr>
    <w:sdtContent>
      <w:p w14:paraId="6AB2C0A6" w14:textId="77777777" w:rsidR="00721EB8" w:rsidRDefault="00721EB8" w:rsidP="00AD0924">
        <w:pPr>
          <w:pStyle w:val="Footer"/>
          <w:jc w:val="center"/>
        </w:pPr>
        <w:r>
          <w:fldChar w:fldCharType="begin"/>
        </w:r>
        <w:r>
          <w:instrText xml:space="preserve"> PAGE   \* MERGEFORMAT </w:instrText>
        </w:r>
        <w:r>
          <w:fldChar w:fldCharType="separate"/>
        </w:r>
        <w:r w:rsidR="00E73C31">
          <w:rPr>
            <w:noProof/>
          </w:rPr>
          <w:t>8</w:t>
        </w:r>
        <w:r>
          <w:rPr>
            <w:noProof/>
          </w:rPr>
          <w:fldChar w:fldCharType="end"/>
        </w:r>
      </w:p>
    </w:sdtContent>
  </w:sdt>
  <w:p w14:paraId="66959ABC" w14:textId="77777777" w:rsidR="00721EB8" w:rsidRDefault="00721E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32D636" w14:textId="77777777" w:rsidR="003C255D" w:rsidRDefault="003C255D" w:rsidP="00556929">
      <w:pPr>
        <w:spacing w:after="0" w:line="240" w:lineRule="auto"/>
      </w:pPr>
      <w:r>
        <w:separator/>
      </w:r>
    </w:p>
  </w:footnote>
  <w:footnote w:type="continuationSeparator" w:id="0">
    <w:p w14:paraId="03ECA9C3" w14:textId="77777777" w:rsidR="003C255D" w:rsidRDefault="003C255D" w:rsidP="005569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80743"/>
    <w:multiLevelType w:val="hybridMultilevel"/>
    <w:tmpl w:val="879861CA"/>
    <w:lvl w:ilvl="0" w:tplc="D7323006">
      <w:start w:val="1"/>
      <w:numFmt w:val="bullet"/>
      <w:lvlText w:val=""/>
      <w:lvlJc w:val="left"/>
      <w:pPr>
        <w:tabs>
          <w:tab w:val="num" w:pos="720"/>
        </w:tabs>
        <w:ind w:left="720" w:hanging="360"/>
      </w:pPr>
      <w:rPr>
        <w:rFonts w:ascii="Wingdings" w:hAnsi="Wingdings" w:hint="default"/>
      </w:rPr>
    </w:lvl>
    <w:lvl w:ilvl="1" w:tplc="A330ECD2" w:tentative="1">
      <w:start w:val="1"/>
      <w:numFmt w:val="bullet"/>
      <w:lvlText w:val=""/>
      <w:lvlJc w:val="left"/>
      <w:pPr>
        <w:tabs>
          <w:tab w:val="num" w:pos="1440"/>
        </w:tabs>
        <w:ind w:left="1440" w:hanging="360"/>
      </w:pPr>
      <w:rPr>
        <w:rFonts w:ascii="Wingdings" w:hAnsi="Wingdings" w:hint="default"/>
      </w:rPr>
    </w:lvl>
    <w:lvl w:ilvl="2" w:tplc="EF60CDA4" w:tentative="1">
      <w:start w:val="1"/>
      <w:numFmt w:val="bullet"/>
      <w:lvlText w:val=""/>
      <w:lvlJc w:val="left"/>
      <w:pPr>
        <w:tabs>
          <w:tab w:val="num" w:pos="2160"/>
        </w:tabs>
        <w:ind w:left="2160" w:hanging="360"/>
      </w:pPr>
      <w:rPr>
        <w:rFonts w:ascii="Wingdings" w:hAnsi="Wingdings" w:hint="default"/>
      </w:rPr>
    </w:lvl>
    <w:lvl w:ilvl="3" w:tplc="CAC0DB40" w:tentative="1">
      <w:start w:val="1"/>
      <w:numFmt w:val="bullet"/>
      <w:lvlText w:val=""/>
      <w:lvlJc w:val="left"/>
      <w:pPr>
        <w:tabs>
          <w:tab w:val="num" w:pos="2880"/>
        </w:tabs>
        <w:ind w:left="2880" w:hanging="360"/>
      </w:pPr>
      <w:rPr>
        <w:rFonts w:ascii="Wingdings" w:hAnsi="Wingdings" w:hint="default"/>
      </w:rPr>
    </w:lvl>
    <w:lvl w:ilvl="4" w:tplc="C6541312" w:tentative="1">
      <w:start w:val="1"/>
      <w:numFmt w:val="bullet"/>
      <w:lvlText w:val=""/>
      <w:lvlJc w:val="left"/>
      <w:pPr>
        <w:tabs>
          <w:tab w:val="num" w:pos="3600"/>
        </w:tabs>
        <w:ind w:left="3600" w:hanging="360"/>
      </w:pPr>
      <w:rPr>
        <w:rFonts w:ascii="Wingdings" w:hAnsi="Wingdings" w:hint="default"/>
      </w:rPr>
    </w:lvl>
    <w:lvl w:ilvl="5" w:tplc="F5C072BA" w:tentative="1">
      <w:start w:val="1"/>
      <w:numFmt w:val="bullet"/>
      <w:lvlText w:val=""/>
      <w:lvlJc w:val="left"/>
      <w:pPr>
        <w:tabs>
          <w:tab w:val="num" w:pos="4320"/>
        </w:tabs>
        <w:ind w:left="4320" w:hanging="360"/>
      </w:pPr>
      <w:rPr>
        <w:rFonts w:ascii="Wingdings" w:hAnsi="Wingdings" w:hint="default"/>
      </w:rPr>
    </w:lvl>
    <w:lvl w:ilvl="6" w:tplc="B3EA90E4" w:tentative="1">
      <w:start w:val="1"/>
      <w:numFmt w:val="bullet"/>
      <w:lvlText w:val=""/>
      <w:lvlJc w:val="left"/>
      <w:pPr>
        <w:tabs>
          <w:tab w:val="num" w:pos="5040"/>
        </w:tabs>
        <w:ind w:left="5040" w:hanging="360"/>
      </w:pPr>
      <w:rPr>
        <w:rFonts w:ascii="Wingdings" w:hAnsi="Wingdings" w:hint="default"/>
      </w:rPr>
    </w:lvl>
    <w:lvl w:ilvl="7" w:tplc="079C336A" w:tentative="1">
      <w:start w:val="1"/>
      <w:numFmt w:val="bullet"/>
      <w:lvlText w:val=""/>
      <w:lvlJc w:val="left"/>
      <w:pPr>
        <w:tabs>
          <w:tab w:val="num" w:pos="5760"/>
        </w:tabs>
        <w:ind w:left="5760" w:hanging="360"/>
      </w:pPr>
      <w:rPr>
        <w:rFonts w:ascii="Wingdings" w:hAnsi="Wingdings" w:hint="default"/>
      </w:rPr>
    </w:lvl>
    <w:lvl w:ilvl="8" w:tplc="DCD2EBF6" w:tentative="1">
      <w:start w:val="1"/>
      <w:numFmt w:val="bullet"/>
      <w:lvlText w:val=""/>
      <w:lvlJc w:val="left"/>
      <w:pPr>
        <w:tabs>
          <w:tab w:val="num" w:pos="6480"/>
        </w:tabs>
        <w:ind w:left="6480" w:hanging="360"/>
      </w:pPr>
      <w:rPr>
        <w:rFonts w:ascii="Wingdings" w:hAnsi="Wingdings" w:hint="default"/>
      </w:rPr>
    </w:lvl>
  </w:abstractNum>
  <w:abstractNum w:abstractNumId="1">
    <w:nsid w:val="036578D3"/>
    <w:multiLevelType w:val="hybridMultilevel"/>
    <w:tmpl w:val="11C89DD2"/>
    <w:lvl w:ilvl="0" w:tplc="0409000F">
      <w:start w:val="1"/>
      <w:numFmt w:val="decimal"/>
      <w:lvlText w:val="%1."/>
      <w:lvlJc w:val="left"/>
      <w:pPr>
        <w:tabs>
          <w:tab w:val="num" w:pos="720"/>
        </w:tabs>
        <w:ind w:left="720" w:hanging="360"/>
      </w:pPr>
      <w:rPr>
        <w:rFonts w:hint="default"/>
      </w:rPr>
    </w:lvl>
    <w:lvl w:ilvl="1" w:tplc="BB6A71DA" w:tentative="1">
      <w:start w:val="1"/>
      <w:numFmt w:val="bullet"/>
      <w:lvlText w:val=""/>
      <w:lvlJc w:val="left"/>
      <w:pPr>
        <w:tabs>
          <w:tab w:val="num" w:pos="1440"/>
        </w:tabs>
        <w:ind w:left="1440" w:hanging="360"/>
      </w:pPr>
      <w:rPr>
        <w:rFonts w:ascii="Wingdings" w:hAnsi="Wingdings" w:hint="default"/>
      </w:rPr>
    </w:lvl>
    <w:lvl w:ilvl="2" w:tplc="2A267CD8" w:tentative="1">
      <w:start w:val="1"/>
      <w:numFmt w:val="bullet"/>
      <w:lvlText w:val=""/>
      <w:lvlJc w:val="left"/>
      <w:pPr>
        <w:tabs>
          <w:tab w:val="num" w:pos="2160"/>
        </w:tabs>
        <w:ind w:left="2160" w:hanging="360"/>
      </w:pPr>
      <w:rPr>
        <w:rFonts w:ascii="Wingdings" w:hAnsi="Wingdings" w:hint="default"/>
      </w:rPr>
    </w:lvl>
    <w:lvl w:ilvl="3" w:tplc="D2328114" w:tentative="1">
      <w:start w:val="1"/>
      <w:numFmt w:val="bullet"/>
      <w:lvlText w:val=""/>
      <w:lvlJc w:val="left"/>
      <w:pPr>
        <w:tabs>
          <w:tab w:val="num" w:pos="2880"/>
        </w:tabs>
        <w:ind w:left="2880" w:hanging="360"/>
      </w:pPr>
      <w:rPr>
        <w:rFonts w:ascii="Wingdings" w:hAnsi="Wingdings" w:hint="default"/>
      </w:rPr>
    </w:lvl>
    <w:lvl w:ilvl="4" w:tplc="4412C726" w:tentative="1">
      <w:start w:val="1"/>
      <w:numFmt w:val="bullet"/>
      <w:lvlText w:val=""/>
      <w:lvlJc w:val="left"/>
      <w:pPr>
        <w:tabs>
          <w:tab w:val="num" w:pos="3600"/>
        </w:tabs>
        <w:ind w:left="3600" w:hanging="360"/>
      </w:pPr>
      <w:rPr>
        <w:rFonts w:ascii="Wingdings" w:hAnsi="Wingdings" w:hint="default"/>
      </w:rPr>
    </w:lvl>
    <w:lvl w:ilvl="5" w:tplc="89286592" w:tentative="1">
      <w:start w:val="1"/>
      <w:numFmt w:val="bullet"/>
      <w:lvlText w:val=""/>
      <w:lvlJc w:val="left"/>
      <w:pPr>
        <w:tabs>
          <w:tab w:val="num" w:pos="4320"/>
        </w:tabs>
        <w:ind w:left="4320" w:hanging="360"/>
      </w:pPr>
      <w:rPr>
        <w:rFonts w:ascii="Wingdings" w:hAnsi="Wingdings" w:hint="default"/>
      </w:rPr>
    </w:lvl>
    <w:lvl w:ilvl="6" w:tplc="23EC89E2" w:tentative="1">
      <w:start w:val="1"/>
      <w:numFmt w:val="bullet"/>
      <w:lvlText w:val=""/>
      <w:lvlJc w:val="left"/>
      <w:pPr>
        <w:tabs>
          <w:tab w:val="num" w:pos="5040"/>
        </w:tabs>
        <w:ind w:left="5040" w:hanging="360"/>
      </w:pPr>
      <w:rPr>
        <w:rFonts w:ascii="Wingdings" w:hAnsi="Wingdings" w:hint="default"/>
      </w:rPr>
    </w:lvl>
    <w:lvl w:ilvl="7" w:tplc="22348636" w:tentative="1">
      <w:start w:val="1"/>
      <w:numFmt w:val="bullet"/>
      <w:lvlText w:val=""/>
      <w:lvlJc w:val="left"/>
      <w:pPr>
        <w:tabs>
          <w:tab w:val="num" w:pos="5760"/>
        </w:tabs>
        <w:ind w:left="5760" w:hanging="360"/>
      </w:pPr>
      <w:rPr>
        <w:rFonts w:ascii="Wingdings" w:hAnsi="Wingdings" w:hint="default"/>
      </w:rPr>
    </w:lvl>
    <w:lvl w:ilvl="8" w:tplc="6A361FFA" w:tentative="1">
      <w:start w:val="1"/>
      <w:numFmt w:val="bullet"/>
      <w:lvlText w:val=""/>
      <w:lvlJc w:val="left"/>
      <w:pPr>
        <w:tabs>
          <w:tab w:val="num" w:pos="6480"/>
        </w:tabs>
        <w:ind w:left="6480" w:hanging="360"/>
      </w:pPr>
      <w:rPr>
        <w:rFonts w:ascii="Wingdings" w:hAnsi="Wingdings" w:hint="default"/>
      </w:rPr>
    </w:lvl>
  </w:abstractNum>
  <w:abstractNum w:abstractNumId="2">
    <w:nsid w:val="0CB650F1"/>
    <w:multiLevelType w:val="hybridMultilevel"/>
    <w:tmpl w:val="0D9465DE"/>
    <w:lvl w:ilvl="0" w:tplc="953E0E24">
      <w:start w:val="1"/>
      <w:numFmt w:val="bullet"/>
      <w:lvlText w:val=""/>
      <w:lvlJc w:val="left"/>
      <w:pPr>
        <w:tabs>
          <w:tab w:val="num" w:pos="720"/>
        </w:tabs>
        <w:ind w:left="720" w:hanging="360"/>
      </w:pPr>
      <w:rPr>
        <w:rFonts w:ascii="Wingdings" w:hAnsi="Wingdings" w:hint="default"/>
      </w:rPr>
    </w:lvl>
    <w:lvl w:ilvl="1" w:tplc="B58C43A2" w:tentative="1">
      <w:start w:val="1"/>
      <w:numFmt w:val="bullet"/>
      <w:lvlText w:val=""/>
      <w:lvlJc w:val="left"/>
      <w:pPr>
        <w:tabs>
          <w:tab w:val="num" w:pos="1440"/>
        </w:tabs>
        <w:ind w:left="1440" w:hanging="360"/>
      </w:pPr>
      <w:rPr>
        <w:rFonts w:ascii="Wingdings" w:hAnsi="Wingdings" w:hint="default"/>
      </w:rPr>
    </w:lvl>
    <w:lvl w:ilvl="2" w:tplc="0936A4B8" w:tentative="1">
      <w:start w:val="1"/>
      <w:numFmt w:val="bullet"/>
      <w:lvlText w:val=""/>
      <w:lvlJc w:val="left"/>
      <w:pPr>
        <w:tabs>
          <w:tab w:val="num" w:pos="2160"/>
        </w:tabs>
        <w:ind w:left="2160" w:hanging="360"/>
      </w:pPr>
      <w:rPr>
        <w:rFonts w:ascii="Wingdings" w:hAnsi="Wingdings" w:hint="default"/>
      </w:rPr>
    </w:lvl>
    <w:lvl w:ilvl="3" w:tplc="D7847BD0" w:tentative="1">
      <w:start w:val="1"/>
      <w:numFmt w:val="bullet"/>
      <w:lvlText w:val=""/>
      <w:lvlJc w:val="left"/>
      <w:pPr>
        <w:tabs>
          <w:tab w:val="num" w:pos="2880"/>
        </w:tabs>
        <w:ind w:left="2880" w:hanging="360"/>
      </w:pPr>
      <w:rPr>
        <w:rFonts w:ascii="Wingdings" w:hAnsi="Wingdings" w:hint="default"/>
      </w:rPr>
    </w:lvl>
    <w:lvl w:ilvl="4" w:tplc="371448AE" w:tentative="1">
      <w:start w:val="1"/>
      <w:numFmt w:val="bullet"/>
      <w:lvlText w:val=""/>
      <w:lvlJc w:val="left"/>
      <w:pPr>
        <w:tabs>
          <w:tab w:val="num" w:pos="3600"/>
        </w:tabs>
        <w:ind w:left="3600" w:hanging="360"/>
      </w:pPr>
      <w:rPr>
        <w:rFonts w:ascii="Wingdings" w:hAnsi="Wingdings" w:hint="default"/>
      </w:rPr>
    </w:lvl>
    <w:lvl w:ilvl="5" w:tplc="8BEC79C4" w:tentative="1">
      <w:start w:val="1"/>
      <w:numFmt w:val="bullet"/>
      <w:lvlText w:val=""/>
      <w:lvlJc w:val="left"/>
      <w:pPr>
        <w:tabs>
          <w:tab w:val="num" w:pos="4320"/>
        </w:tabs>
        <w:ind w:left="4320" w:hanging="360"/>
      </w:pPr>
      <w:rPr>
        <w:rFonts w:ascii="Wingdings" w:hAnsi="Wingdings" w:hint="default"/>
      </w:rPr>
    </w:lvl>
    <w:lvl w:ilvl="6" w:tplc="EE96AC5A" w:tentative="1">
      <w:start w:val="1"/>
      <w:numFmt w:val="bullet"/>
      <w:lvlText w:val=""/>
      <w:lvlJc w:val="left"/>
      <w:pPr>
        <w:tabs>
          <w:tab w:val="num" w:pos="5040"/>
        </w:tabs>
        <w:ind w:left="5040" w:hanging="360"/>
      </w:pPr>
      <w:rPr>
        <w:rFonts w:ascii="Wingdings" w:hAnsi="Wingdings" w:hint="default"/>
      </w:rPr>
    </w:lvl>
    <w:lvl w:ilvl="7" w:tplc="8D00B086" w:tentative="1">
      <w:start w:val="1"/>
      <w:numFmt w:val="bullet"/>
      <w:lvlText w:val=""/>
      <w:lvlJc w:val="left"/>
      <w:pPr>
        <w:tabs>
          <w:tab w:val="num" w:pos="5760"/>
        </w:tabs>
        <w:ind w:left="5760" w:hanging="360"/>
      </w:pPr>
      <w:rPr>
        <w:rFonts w:ascii="Wingdings" w:hAnsi="Wingdings" w:hint="default"/>
      </w:rPr>
    </w:lvl>
    <w:lvl w:ilvl="8" w:tplc="A18CE2FC" w:tentative="1">
      <w:start w:val="1"/>
      <w:numFmt w:val="bullet"/>
      <w:lvlText w:val=""/>
      <w:lvlJc w:val="left"/>
      <w:pPr>
        <w:tabs>
          <w:tab w:val="num" w:pos="6480"/>
        </w:tabs>
        <w:ind w:left="6480" w:hanging="360"/>
      </w:pPr>
      <w:rPr>
        <w:rFonts w:ascii="Wingdings" w:hAnsi="Wingdings" w:hint="default"/>
      </w:rPr>
    </w:lvl>
  </w:abstractNum>
  <w:abstractNum w:abstractNumId="3">
    <w:nsid w:val="185825F0"/>
    <w:multiLevelType w:val="hybridMultilevel"/>
    <w:tmpl w:val="39B8CD92"/>
    <w:lvl w:ilvl="0" w:tplc="0409000F">
      <w:start w:val="1"/>
      <w:numFmt w:val="decimal"/>
      <w:lvlText w:val="%1."/>
      <w:lvlJc w:val="left"/>
      <w:pPr>
        <w:tabs>
          <w:tab w:val="num" w:pos="720"/>
        </w:tabs>
        <w:ind w:left="720" w:hanging="360"/>
      </w:pPr>
      <w:rPr>
        <w:rFonts w:hint="default"/>
      </w:rPr>
    </w:lvl>
    <w:lvl w:ilvl="1" w:tplc="885213E0" w:tentative="1">
      <w:start w:val="1"/>
      <w:numFmt w:val="bullet"/>
      <w:lvlText w:val=""/>
      <w:lvlJc w:val="left"/>
      <w:pPr>
        <w:tabs>
          <w:tab w:val="num" w:pos="1440"/>
        </w:tabs>
        <w:ind w:left="1440" w:hanging="360"/>
      </w:pPr>
      <w:rPr>
        <w:rFonts w:ascii="Wingdings" w:hAnsi="Wingdings" w:hint="default"/>
      </w:rPr>
    </w:lvl>
    <w:lvl w:ilvl="2" w:tplc="CCDEF2D8" w:tentative="1">
      <w:start w:val="1"/>
      <w:numFmt w:val="bullet"/>
      <w:lvlText w:val=""/>
      <w:lvlJc w:val="left"/>
      <w:pPr>
        <w:tabs>
          <w:tab w:val="num" w:pos="2160"/>
        </w:tabs>
        <w:ind w:left="2160" w:hanging="360"/>
      </w:pPr>
      <w:rPr>
        <w:rFonts w:ascii="Wingdings" w:hAnsi="Wingdings" w:hint="default"/>
      </w:rPr>
    </w:lvl>
    <w:lvl w:ilvl="3" w:tplc="D846736C" w:tentative="1">
      <w:start w:val="1"/>
      <w:numFmt w:val="bullet"/>
      <w:lvlText w:val=""/>
      <w:lvlJc w:val="left"/>
      <w:pPr>
        <w:tabs>
          <w:tab w:val="num" w:pos="2880"/>
        </w:tabs>
        <w:ind w:left="2880" w:hanging="360"/>
      </w:pPr>
      <w:rPr>
        <w:rFonts w:ascii="Wingdings" w:hAnsi="Wingdings" w:hint="default"/>
      </w:rPr>
    </w:lvl>
    <w:lvl w:ilvl="4" w:tplc="5BB81FEE" w:tentative="1">
      <w:start w:val="1"/>
      <w:numFmt w:val="bullet"/>
      <w:lvlText w:val=""/>
      <w:lvlJc w:val="left"/>
      <w:pPr>
        <w:tabs>
          <w:tab w:val="num" w:pos="3600"/>
        </w:tabs>
        <w:ind w:left="3600" w:hanging="360"/>
      </w:pPr>
      <w:rPr>
        <w:rFonts w:ascii="Wingdings" w:hAnsi="Wingdings" w:hint="default"/>
      </w:rPr>
    </w:lvl>
    <w:lvl w:ilvl="5" w:tplc="3D06860A" w:tentative="1">
      <w:start w:val="1"/>
      <w:numFmt w:val="bullet"/>
      <w:lvlText w:val=""/>
      <w:lvlJc w:val="left"/>
      <w:pPr>
        <w:tabs>
          <w:tab w:val="num" w:pos="4320"/>
        </w:tabs>
        <w:ind w:left="4320" w:hanging="360"/>
      </w:pPr>
      <w:rPr>
        <w:rFonts w:ascii="Wingdings" w:hAnsi="Wingdings" w:hint="default"/>
      </w:rPr>
    </w:lvl>
    <w:lvl w:ilvl="6" w:tplc="CE286FCA" w:tentative="1">
      <w:start w:val="1"/>
      <w:numFmt w:val="bullet"/>
      <w:lvlText w:val=""/>
      <w:lvlJc w:val="left"/>
      <w:pPr>
        <w:tabs>
          <w:tab w:val="num" w:pos="5040"/>
        </w:tabs>
        <w:ind w:left="5040" w:hanging="360"/>
      </w:pPr>
      <w:rPr>
        <w:rFonts w:ascii="Wingdings" w:hAnsi="Wingdings" w:hint="default"/>
      </w:rPr>
    </w:lvl>
    <w:lvl w:ilvl="7" w:tplc="0E16C7A2" w:tentative="1">
      <w:start w:val="1"/>
      <w:numFmt w:val="bullet"/>
      <w:lvlText w:val=""/>
      <w:lvlJc w:val="left"/>
      <w:pPr>
        <w:tabs>
          <w:tab w:val="num" w:pos="5760"/>
        </w:tabs>
        <w:ind w:left="5760" w:hanging="360"/>
      </w:pPr>
      <w:rPr>
        <w:rFonts w:ascii="Wingdings" w:hAnsi="Wingdings" w:hint="default"/>
      </w:rPr>
    </w:lvl>
    <w:lvl w:ilvl="8" w:tplc="1206D762" w:tentative="1">
      <w:start w:val="1"/>
      <w:numFmt w:val="bullet"/>
      <w:lvlText w:val=""/>
      <w:lvlJc w:val="left"/>
      <w:pPr>
        <w:tabs>
          <w:tab w:val="num" w:pos="6480"/>
        </w:tabs>
        <w:ind w:left="6480" w:hanging="360"/>
      </w:pPr>
      <w:rPr>
        <w:rFonts w:ascii="Wingdings" w:hAnsi="Wingdings" w:hint="default"/>
      </w:rPr>
    </w:lvl>
  </w:abstractNum>
  <w:abstractNum w:abstractNumId="4">
    <w:nsid w:val="1FED110A"/>
    <w:multiLevelType w:val="hybridMultilevel"/>
    <w:tmpl w:val="B99ADA54"/>
    <w:lvl w:ilvl="0" w:tplc="648CCB32">
      <w:start w:val="1"/>
      <w:numFmt w:val="bullet"/>
      <w:lvlText w:val=""/>
      <w:lvlJc w:val="left"/>
      <w:pPr>
        <w:tabs>
          <w:tab w:val="num" w:pos="720"/>
        </w:tabs>
        <w:ind w:left="720" w:hanging="360"/>
      </w:pPr>
      <w:rPr>
        <w:rFonts w:ascii="Wingdings" w:hAnsi="Wingdings" w:hint="default"/>
      </w:rPr>
    </w:lvl>
    <w:lvl w:ilvl="1" w:tplc="D10680A2" w:tentative="1">
      <w:start w:val="1"/>
      <w:numFmt w:val="bullet"/>
      <w:lvlText w:val=""/>
      <w:lvlJc w:val="left"/>
      <w:pPr>
        <w:tabs>
          <w:tab w:val="num" w:pos="1440"/>
        </w:tabs>
        <w:ind w:left="1440" w:hanging="360"/>
      </w:pPr>
      <w:rPr>
        <w:rFonts w:ascii="Wingdings" w:hAnsi="Wingdings" w:hint="default"/>
      </w:rPr>
    </w:lvl>
    <w:lvl w:ilvl="2" w:tplc="2D86EFB4" w:tentative="1">
      <w:start w:val="1"/>
      <w:numFmt w:val="bullet"/>
      <w:lvlText w:val=""/>
      <w:lvlJc w:val="left"/>
      <w:pPr>
        <w:tabs>
          <w:tab w:val="num" w:pos="2160"/>
        </w:tabs>
        <w:ind w:left="2160" w:hanging="360"/>
      </w:pPr>
      <w:rPr>
        <w:rFonts w:ascii="Wingdings" w:hAnsi="Wingdings" w:hint="default"/>
      </w:rPr>
    </w:lvl>
    <w:lvl w:ilvl="3" w:tplc="76DEA72E" w:tentative="1">
      <w:start w:val="1"/>
      <w:numFmt w:val="bullet"/>
      <w:lvlText w:val=""/>
      <w:lvlJc w:val="left"/>
      <w:pPr>
        <w:tabs>
          <w:tab w:val="num" w:pos="2880"/>
        </w:tabs>
        <w:ind w:left="2880" w:hanging="360"/>
      </w:pPr>
      <w:rPr>
        <w:rFonts w:ascii="Wingdings" w:hAnsi="Wingdings" w:hint="default"/>
      </w:rPr>
    </w:lvl>
    <w:lvl w:ilvl="4" w:tplc="2954068E" w:tentative="1">
      <w:start w:val="1"/>
      <w:numFmt w:val="bullet"/>
      <w:lvlText w:val=""/>
      <w:lvlJc w:val="left"/>
      <w:pPr>
        <w:tabs>
          <w:tab w:val="num" w:pos="3600"/>
        </w:tabs>
        <w:ind w:left="3600" w:hanging="360"/>
      </w:pPr>
      <w:rPr>
        <w:rFonts w:ascii="Wingdings" w:hAnsi="Wingdings" w:hint="default"/>
      </w:rPr>
    </w:lvl>
    <w:lvl w:ilvl="5" w:tplc="D99E1CE2" w:tentative="1">
      <w:start w:val="1"/>
      <w:numFmt w:val="bullet"/>
      <w:lvlText w:val=""/>
      <w:lvlJc w:val="left"/>
      <w:pPr>
        <w:tabs>
          <w:tab w:val="num" w:pos="4320"/>
        </w:tabs>
        <w:ind w:left="4320" w:hanging="360"/>
      </w:pPr>
      <w:rPr>
        <w:rFonts w:ascii="Wingdings" w:hAnsi="Wingdings" w:hint="default"/>
      </w:rPr>
    </w:lvl>
    <w:lvl w:ilvl="6" w:tplc="6E7AB578" w:tentative="1">
      <w:start w:val="1"/>
      <w:numFmt w:val="bullet"/>
      <w:lvlText w:val=""/>
      <w:lvlJc w:val="left"/>
      <w:pPr>
        <w:tabs>
          <w:tab w:val="num" w:pos="5040"/>
        </w:tabs>
        <w:ind w:left="5040" w:hanging="360"/>
      </w:pPr>
      <w:rPr>
        <w:rFonts w:ascii="Wingdings" w:hAnsi="Wingdings" w:hint="default"/>
      </w:rPr>
    </w:lvl>
    <w:lvl w:ilvl="7" w:tplc="3250A3B8" w:tentative="1">
      <w:start w:val="1"/>
      <w:numFmt w:val="bullet"/>
      <w:lvlText w:val=""/>
      <w:lvlJc w:val="left"/>
      <w:pPr>
        <w:tabs>
          <w:tab w:val="num" w:pos="5760"/>
        </w:tabs>
        <w:ind w:left="5760" w:hanging="360"/>
      </w:pPr>
      <w:rPr>
        <w:rFonts w:ascii="Wingdings" w:hAnsi="Wingdings" w:hint="default"/>
      </w:rPr>
    </w:lvl>
    <w:lvl w:ilvl="8" w:tplc="3928355C" w:tentative="1">
      <w:start w:val="1"/>
      <w:numFmt w:val="bullet"/>
      <w:lvlText w:val=""/>
      <w:lvlJc w:val="left"/>
      <w:pPr>
        <w:tabs>
          <w:tab w:val="num" w:pos="6480"/>
        </w:tabs>
        <w:ind w:left="6480" w:hanging="360"/>
      </w:pPr>
      <w:rPr>
        <w:rFonts w:ascii="Wingdings" w:hAnsi="Wingdings" w:hint="default"/>
      </w:rPr>
    </w:lvl>
  </w:abstractNum>
  <w:abstractNum w:abstractNumId="5">
    <w:nsid w:val="21347288"/>
    <w:multiLevelType w:val="hybridMultilevel"/>
    <w:tmpl w:val="2048F00C"/>
    <w:lvl w:ilvl="0" w:tplc="869C7514">
      <w:start w:val="1"/>
      <w:numFmt w:val="bullet"/>
      <w:lvlText w:val=""/>
      <w:lvlJc w:val="left"/>
      <w:pPr>
        <w:tabs>
          <w:tab w:val="num" w:pos="720"/>
        </w:tabs>
        <w:ind w:left="720" w:hanging="360"/>
      </w:pPr>
      <w:rPr>
        <w:rFonts w:ascii="Wingdings" w:hAnsi="Wingdings" w:hint="default"/>
      </w:rPr>
    </w:lvl>
    <w:lvl w:ilvl="1" w:tplc="FFAC09D2" w:tentative="1">
      <w:start w:val="1"/>
      <w:numFmt w:val="bullet"/>
      <w:lvlText w:val=""/>
      <w:lvlJc w:val="left"/>
      <w:pPr>
        <w:tabs>
          <w:tab w:val="num" w:pos="1440"/>
        </w:tabs>
        <w:ind w:left="1440" w:hanging="360"/>
      </w:pPr>
      <w:rPr>
        <w:rFonts w:ascii="Wingdings" w:hAnsi="Wingdings" w:hint="default"/>
      </w:rPr>
    </w:lvl>
    <w:lvl w:ilvl="2" w:tplc="F9D4DA48" w:tentative="1">
      <w:start w:val="1"/>
      <w:numFmt w:val="bullet"/>
      <w:lvlText w:val=""/>
      <w:lvlJc w:val="left"/>
      <w:pPr>
        <w:tabs>
          <w:tab w:val="num" w:pos="2160"/>
        </w:tabs>
        <w:ind w:left="2160" w:hanging="360"/>
      </w:pPr>
      <w:rPr>
        <w:rFonts w:ascii="Wingdings" w:hAnsi="Wingdings" w:hint="default"/>
      </w:rPr>
    </w:lvl>
    <w:lvl w:ilvl="3" w:tplc="A5AA1AF0" w:tentative="1">
      <w:start w:val="1"/>
      <w:numFmt w:val="bullet"/>
      <w:lvlText w:val=""/>
      <w:lvlJc w:val="left"/>
      <w:pPr>
        <w:tabs>
          <w:tab w:val="num" w:pos="2880"/>
        </w:tabs>
        <w:ind w:left="2880" w:hanging="360"/>
      </w:pPr>
      <w:rPr>
        <w:rFonts w:ascii="Wingdings" w:hAnsi="Wingdings" w:hint="default"/>
      </w:rPr>
    </w:lvl>
    <w:lvl w:ilvl="4" w:tplc="D610DE76" w:tentative="1">
      <w:start w:val="1"/>
      <w:numFmt w:val="bullet"/>
      <w:lvlText w:val=""/>
      <w:lvlJc w:val="left"/>
      <w:pPr>
        <w:tabs>
          <w:tab w:val="num" w:pos="3600"/>
        </w:tabs>
        <w:ind w:left="3600" w:hanging="360"/>
      </w:pPr>
      <w:rPr>
        <w:rFonts w:ascii="Wingdings" w:hAnsi="Wingdings" w:hint="default"/>
      </w:rPr>
    </w:lvl>
    <w:lvl w:ilvl="5" w:tplc="DBBE8F68" w:tentative="1">
      <w:start w:val="1"/>
      <w:numFmt w:val="bullet"/>
      <w:lvlText w:val=""/>
      <w:lvlJc w:val="left"/>
      <w:pPr>
        <w:tabs>
          <w:tab w:val="num" w:pos="4320"/>
        </w:tabs>
        <w:ind w:left="4320" w:hanging="360"/>
      </w:pPr>
      <w:rPr>
        <w:rFonts w:ascii="Wingdings" w:hAnsi="Wingdings" w:hint="default"/>
      </w:rPr>
    </w:lvl>
    <w:lvl w:ilvl="6" w:tplc="F60A8FC8" w:tentative="1">
      <w:start w:val="1"/>
      <w:numFmt w:val="bullet"/>
      <w:lvlText w:val=""/>
      <w:lvlJc w:val="left"/>
      <w:pPr>
        <w:tabs>
          <w:tab w:val="num" w:pos="5040"/>
        </w:tabs>
        <w:ind w:left="5040" w:hanging="360"/>
      </w:pPr>
      <w:rPr>
        <w:rFonts w:ascii="Wingdings" w:hAnsi="Wingdings" w:hint="default"/>
      </w:rPr>
    </w:lvl>
    <w:lvl w:ilvl="7" w:tplc="8522D136" w:tentative="1">
      <w:start w:val="1"/>
      <w:numFmt w:val="bullet"/>
      <w:lvlText w:val=""/>
      <w:lvlJc w:val="left"/>
      <w:pPr>
        <w:tabs>
          <w:tab w:val="num" w:pos="5760"/>
        </w:tabs>
        <w:ind w:left="5760" w:hanging="360"/>
      </w:pPr>
      <w:rPr>
        <w:rFonts w:ascii="Wingdings" w:hAnsi="Wingdings" w:hint="default"/>
      </w:rPr>
    </w:lvl>
    <w:lvl w:ilvl="8" w:tplc="B4280368" w:tentative="1">
      <w:start w:val="1"/>
      <w:numFmt w:val="bullet"/>
      <w:lvlText w:val=""/>
      <w:lvlJc w:val="left"/>
      <w:pPr>
        <w:tabs>
          <w:tab w:val="num" w:pos="6480"/>
        </w:tabs>
        <w:ind w:left="6480" w:hanging="360"/>
      </w:pPr>
      <w:rPr>
        <w:rFonts w:ascii="Wingdings" w:hAnsi="Wingdings" w:hint="default"/>
      </w:rPr>
    </w:lvl>
  </w:abstractNum>
  <w:abstractNum w:abstractNumId="6">
    <w:nsid w:val="23325F83"/>
    <w:multiLevelType w:val="hybridMultilevel"/>
    <w:tmpl w:val="CB02CAE2"/>
    <w:lvl w:ilvl="0" w:tplc="E5FA57B6">
      <w:start w:val="1"/>
      <w:numFmt w:val="decimal"/>
      <w:lvlText w:val="%1."/>
      <w:lvlJc w:val="left"/>
      <w:pPr>
        <w:tabs>
          <w:tab w:val="num" w:pos="720"/>
        </w:tabs>
        <w:ind w:left="720" w:hanging="360"/>
      </w:pPr>
    </w:lvl>
    <w:lvl w:ilvl="1" w:tplc="55367F72" w:tentative="1">
      <w:start w:val="1"/>
      <w:numFmt w:val="decimal"/>
      <w:lvlText w:val="%2."/>
      <w:lvlJc w:val="left"/>
      <w:pPr>
        <w:tabs>
          <w:tab w:val="num" w:pos="1440"/>
        </w:tabs>
        <w:ind w:left="1440" w:hanging="360"/>
      </w:pPr>
    </w:lvl>
    <w:lvl w:ilvl="2" w:tplc="96B65072" w:tentative="1">
      <w:start w:val="1"/>
      <w:numFmt w:val="decimal"/>
      <w:lvlText w:val="%3."/>
      <w:lvlJc w:val="left"/>
      <w:pPr>
        <w:tabs>
          <w:tab w:val="num" w:pos="2160"/>
        </w:tabs>
        <w:ind w:left="2160" w:hanging="360"/>
      </w:pPr>
    </w:lvl>
    <w:lvl w:ilvl="3" w:tplc="8F764BBA" w:tentative="1">
      <w:start w:val="1"/>
      <w:numFmt w:val="decimal"/>
      <w:lvlText w:val="%4."/>
      <w:lvlJc w:val="left"/>
      <w:pPr>
        <w:tabs>
          <w:tab w:val="num" w:pos="2880"/>
        </w:tabs>
        <w:ind w:left="2880" w:hanging="360"/>
      </w:pPr>
    </w:lvl>
    <w:lvl w:ilvl="4" w:tplc="971A2A02" w:tentative="1">
      <w:start w:val="1"/>
      <w:numFmt w:val="decimal"/>
      <w:lvlText w:val="%5."/>
      <w:lvlJc w:val="left"/>
      <w:pPr>
        <w:tabs>
          <w:tab w:val="num" w:pos="3600"/>
        </w:tabs>
        <w:ind w:left="3600" w:hanging="360"/>
      </w:pPr>
    </w:lvl>
    <w:lvl w:ilvl="5" w:tplc="16AE9534" w:tentative="1">
      <w:start w:val="1"/>
      <w:numFmt w:val="decimal"/>
      <w:lvlText w:val="%6."/>
      <w:lvlJc w:val="left"/>
      <w:pPr>
        <w:tabs>
          <w:tab w:val="num" w:pos="4320"/>
        </w:tabs>
        <w:ind w:left="4320" w:hanging="360"/>
      </w:pPr>
    </w:lvl>
    <w:lvl w:ilvl="6" w:tplc="76F87048" w:tentative="1">
      <w:start w:val="1"/>
      <w:numFmt w:val="decimal"/>
      <w:lvlText w:val="%7."/>
      <w:lvlJc w:val="left"/>
      <w:pPr>
        <w:tabs>
          <w:tab w:val="num" w:pos="5040"/>
        </w:tabs>
        <w:ind w:left="5040" w:hanging="360"/>
      </w:pPr>
    </w:lvl>
    <w:lvl w:ilvl="7" w:tplc="03808F7E" w:tentative="1">
      <w:start w:val="1"/>
      <w:numFmt w:val="decimal"/>
      <w:lvlText w:val="%8."/>
      <w:lvlJc w:val="left"/>
      <w:pPr>
        <w:tabs>
          <w:tab w:val="num" w:pos="5760"/>
        </w:tabs>
        <w:ind w:left="5760" w:hanging="360"/>
      </w:pPr>
    </w:lvl>
    <w:lvl w:ilvl="8" w:tplc="3F726200" w:tentative="1">
      <w:start w:val="1"/>
      <w:numFmt w:val="decimal"/>
      <w:lvlText w:val="%9."/>
      <w:lvlJc w:val="left"/>
      <w:pPr>
        <w:tabs>
          <w:tab w:val="num" w:pos="6480"/>
        </w:tabs>
        <w:ind w:left="6480" w:hanging="360"/>
      </w:pPr>
    </w:lvl>
  </w:abstractNum>
  <w:abstractNum w:abstractNumId="7">
    <w:nsid w:val="26A23BD0"/>
    <w:multiLevelType w:val="hybridMultilevel"/>
    <w:tmpl w:val="987AE910"/>
    <w:lvl w:ilvl="0" w:tplc="0409000F">
      <w:start w:val="1"/>
      <w:numFmt w:val="decimal"/>
      <w:lvlText w:val="%1."/>
      <w:lvlJc w:val="left"/>
      <w:pPr>
        <w:tabs>
          <w:tab w:val="num" w:pos="720"/>
        </w:tabs>
        <w:ind w:left="720" w:hanging="360"/>
      </w:pPr>
      <w:rPr>
        <w:rFonts w:hint="default"/>
      </w:rPr>
    </w:lvl>
    <w:lvl w:ilvl="1" w:tplc="A330ECD2" w:tentative="1">
      <w:start w:val="1"/>
      <w:numFmt w:val="bullet"/>
      <w:lvlText w:val=""/>
      <w:lvlJc w:val="left"/>
      <w:pPr>
        <w:tabs>
          <w:tab w:val="num" w:pos="1440"/>
        </w:tabs>
        <w:ind w:left="1440" w:hanging="360"/>
      </w:pPr>
      <w:rPr>
        <w:rFonts w:ascii="Wingdings" w:hAnsi="Wingdings" w:hint="default"/>
      </w:rPr>
    </w:lvl>
    <w:lvl w:ilvl="2" w:tplc="EF60CDA4" w:tentative="1">
      <w:start w:val="1"/>
      <w:numFmt w:val="bullet"/>
      <w:lvlText w:val=""/>
      <w:lvlJc w:val="left"/>
      <w:pPr>
        <w:tabs>
          <w:tab w:val="num" w:pos="2160"/>
        </w:tabs>
        <w:ind w:left="2160" w:hanging="360"/>
      </w:pPr>
      <w:rPr>
        <w:rFonts w:ascii="Wingdings" w:hAnsi="Wingdings" w:hint="default"/>
      </w:rPr>
    </w:lvl>
    <w:lvl w:ilvl="3" w:tplc="CAC0DB40" w:tentative="1">
      <w:start w:val="1"/>
      <w:numFmt w:val="bullet"/>
      <w:lvlText w:val=""/>
      <w:lvlJc w:val="left"/>
      <w:pPr>
        <w:tabs>
          <w:tab w:val="num" w:pos="2880"/>
        </w:tabs>
        <w:ind w:left="2880" w:hanging="360"/>
      </w:pPr>
      <w:rPr>
        <w:rFonts w:ascii="Wingdings" w:hAnsi="Wingdings" w:hint="default"/>
      </w:rPr>
    </w:lvl>
    <w:lvl w:ilvl="4" w:tplc="C6541312" w:tentative="1">
      <w:start w:val="1"/>
      <w:numFmt w:val="bullet"/>
      <w:lvlText w:val=""/>
      <w:lvlJc w:val="left"/>
      <w:pPr>
        <w:tabs>
          <w:tab w:val="num" w:pos="3600"/>
        </w:tabs>
        <w:ind w:left="3600" w:hanging="360"/>
      </w:pPr>
      <w:rPr>
        <w:rFonts w:ascii="Wingdings" w:hAnsi="Wingdings" w:hint="default"/>
      </w:rPr>
    </w:lvl>
    <w:lvl w:ilvl="5" w:tplc="F5C072BA" w:tentative="1">
      <w:start w:val="1"/>
      <w:numFmt w:val="bullet"/>
      <w:lvlText w:val=""/>
      <w:lvlJc w:val="left"/>
      <w:pPr>
        <w:tabs>
          <w:tab w:val="num" w:pos="4320"/>
        </w:tabs>
        <w:ind w:left="4320" w:hanging="360"/>
      </w:pPr>
      <w:rPr>
        <w:rFonts w:ascii="Wingdings" w:hAnsi="Wingdings" w:hint="default"/>
      </w:rPr>
    </w:lvl>
    <w:lvl w:ilvl="6" w:tplc="B3EA90E4" w:tentative="1">
      <w:start w:val="1"/>
      <w:numFmt w:val="bullet"/>
      <w:lvlText w:val=""/>
      <w:lvlJc w:val="left"/>
      <w:pPr>
        <w:tabs>
          <w:tab w:val="num" w:pos="5040"/>
        </w:tabs>
        <w:ind w:left="5040" w:hanging="360"/>
      </w:pPr>
      <w:rPr>
        <w:rFonts w:ascii="Wingdings" w:hAnsi="Wingdings" w:hint="default"/>
      </w:rPr>
    </w:lvl>
    <w:lvl w:ilvl="7" w:tplc="079C336A" w:tentative="1">
      <w:start w:val="1"/>
      <w:numFmt w:val="bullet"/>
      <w:lvlText w:val=""/>
      <w:lvlJc w:val="left"/>
      <w:pPr>
        <w:tabs>
          <w:tab w:val="num" w:pos="5760"/>
        </w:tabs>
        <w:ind w:left="5760" w:hanging="360"/>
      </w:pPr>
      <w:rPr>
        <w:rFonts w:ascii="Wingdings" w:hAnsi="Wingdings" w:hint="default"/>
      </w:rPr>
    </w:lvl>
    <w:lvl w:ilvl="8" w:tplc="DCD2EBF6" w:tentative="1">
      <w:start w:val="1"/>
      <w:numFmt w:val="bullet"/>
      <w:lvlText w:val=""/>
      <w:lvlJc w:val="left"/>
      <w:pPr>
        <w:tabs>
          <w:tab w:val="num" w:pos="6480"/>
        </w:tabs>
        <w:ind w:left="6480" w:hanging="360"/>
      </w:pPr>
      <w:rPr>
        <w:rFonts w:ascii="Wingdings" w:hAnsi="Wingdings" w:hint="default"/>
      </w:rPr>
    </w:lvl>
  </w:abstractNum>
  <w:abstractNum w:abstractNumId="8">
    <w:nsid w:val="2CFD334F"/>
    <w:multiLevelType w:val="hybridMultilevel"/>
    <w:tmpl w:val="19541A40"/>
    <w:lvl w:ilvl="0" w:tplc="762E3374">
      <w:start w:val="1"/>
      <w:numFmt w:val="bullet"/>
      <w:lvlText w:val=""/>
      <w:lvlJc w:val="left"/>
      <w:pPr>
        <w:tabs>
          <w:tab w:val="num" w:pos="720"/>
        </w:tabs>
        <w:ind w:left="720" w:hanging="360"/>
      </w:pPr>
      <w:rPr>
        <w:rFonts w:ascii="Wingdings" w:hAnsi="Wingdings" w:hint="default"/>
      </w:rPr>
    </w:lvl>
    <w:lvl w:ilvl="1" w:tplc="46429E44" w:tentative="1">
      <w:start w:val="1"/>
      <w:numFmt w:val="bullet"/>
      <w:lvlText w:val=""/>
      <w:lvlJc w:val="left"/>
      <w:pPr>
        <w:tabs>
          <w:tab w:val="num" w:pos="1440"/>
        </w:tabs>
        <w:ind w:left="1440" w:hanging="360"/>
      </w:pPr>
      <w:rPr>
        <w:rFonts w:ascii="Wingdings" w:hAnsi="Wingdings" w:hint="default"/>
      </w:rPr>
    </w:lvl>
    <w:lvl w:ilvl="2" w:tplc="3F588916" w:tentative="1">
      <w:start w:val="1"/>
      <w:numFmt w:val="bullet"/>
      <w:lvlText w:val=""/>
      <w:lvlJc w:val="left"/>
      <w:pPr>
        <w:tabs>
          <w:tab w:val="num" w:pos="2160"/>
        </w:tabs>
        <w:ind w:left="2160" w:hanging="360"/>
      </w:pPr>
      <w:rPr>
        <w:rFonts w:ascii="Wingdings" w:hAnsi="Wingdings" w:hint="default"/>
      </w:rPr>
    </w:lvl>
    <w:lvl w:ilvl="3" w:tplc="9BE411B6" w:tentative="1">
      <w:start w:val="1"/>
      <w:numFmt w:val="bullet"/>
      <w:lvlText w:val=""/>
      <w:lvlJc w:val="left"/>
      <w:pPr>
        <w:tabs>
          <w:tab w:val="num" w:pos="2880"/>
        </w:tabs>
        <w:ind w:left="2880" w:hanging="360"/>
      </w:pPr>
      <w:rPr>
        <w:rFonts w:ascii="Wingdings" w:hAnsi="Wingdings" w:hint="default"/>
      </w:rPr>
    </w:lvl>
    <w:lvl w:ilvl="4" w:tplc="F2DC8CEC" w:tentative="1">
      <w:start w:val="1"/>
      <w:numFmt w:val="bullet"/>
      <w:lvlText w:val=""/>
      <w:lvlJc w:val="left"/>
      <w:pPr>
        <w:tabs>
          <w:tab w:val="num" w:pos="3600"/>
        </w:tabs>
        <w:ind w:left="3600" w:hanging="360"/>
      </w:pPr>
      <w:rPr>
        <w:rFonts w:ascii="Wingdings" w:hAnsi="Wingdings" w:hint="default"/>
      </w:rPr>
    </w:lvl>
    <w:lvl w:ilvl="5" w:tplc="BCA4977C" w:tentative="1">
      <w:start w:val="1"/>
      <w:numFmt w:val="bullet"/>
      <w:lvlText w:val=""/>
      <w:lvlJc w:val="left"/>
      <w:pPr>
        <w:tabs>
          <w:tab w:val="num" w:pos="4320"/>
        </w:tabs>
        <w:ind w:left="4320" w:hanging="360"/>
      </w:pPr>
      <w:rPr>
        <w:rFonts w:ascii="Wingdings" w:hAnsi="Wingdings" w:hint="default"/>
      </w:rPr>
    </w:lvl>
    <w:lvl w:ilvl="6" w:tplc="141247B6" w:tentative="1">
      <w:start w:val="1"/>
      <w:numFmt w:val="bullet"/>
      <w:lvlText w:val=""/>
      <w:lvlJc w:val="left"/>
      <w:pPr>
        <w:tabs>
          <w:tab w:val="num" w:pos="5040"/>
        </w:tabs>
        <w:ind w:left="5040" w:hanging="360"/>
      </w:pPr>
      <w:rPr>
        <w:rFonts w:ascii="Wingdings" w:hAnsi="Wingdings" w:hint="default"/>
      </w:rPr>
    </w:lvl>
    <w:lvl w:ilvl="7" w:tplc="93EAE2F0" w:tentative="1">
      <w:start w:val="1"/>
      <w:numFmt w:val="bullet"/>
      <w:lvlText w:val=""/>
      <w:lvlJc w:val="left"/>
      <w:pPr>
        <w:tabs>
          <w:tab w:val="num" w:pos="5760"/>
        </w:tabs>
        <w:ind w:left="5760" w:hanging="360"/>
      </w:pPr>
      <w:rPr>
        <w:rFonts w:ascii="Wingdings" w:hAnsi="Wingdings" w:hint="default"/>
      </w:rPr>
    </w:lvl>
    <w:lvl w:ilvl="8" w:tplc="D38C438A" w:tentative="1">
      <w:start w:val="1"/>
      <w:numFmt w:val="bullet"/>
      <w:lvlText w:val=""/>
      <w:lvlJc w:val="left"/>
      <w:pPr>
        <w:tabs>
          <w:tab w:val="num" w:pos="6480"/>
        </w:tabs>
        <w:ind w:left="6480" w:hanging="360"/>
      </w:pPr>
      <w:rPr>
        <w:rFonts w:ascii="Wingdings" w:hAnsi="Wingdings" w:hint="default"/>
      </w:rPr>
    </w:lvl>
  </w:abstractNum>
  <w:abstractNum w:abstractNumId="9">
    <w:nsid w:val="320A70D6"/>
    <w:multiLevelType w:val="hybridMultilevel"/>
    <w:tmpl w:val="FE4A1A8E"/>
    <w:lvl w:ilvl="0" w:tplc="358A793C">
      <w:start w:val="1"/>
      <w:numFmt w:val="bullet"/>
      <w:lvlText w:val=""/>
      <w:lvlJc w:val="left"/>
      <w:pPr>
        <w:tabs>
          <w:tab w:val="num" w:pos="720"/>
        </w:tabs>
        <w:ind w:left="720" w:hanging="360"/>
      </w:pPr>
      <w:rPr>
        <w:rFonts w:ascii="Wingdings" w:hAnsi="Wingdings" w:hint="default"/>
      </w:rPr>
    </w:lvl>
    <w:lvl w:ilvl="1" w:tplc="9064BC94" w:tentative="1">
      <w:start w:val="1"/>
      <w:numFmt w:val="bullet"/>
      <w:lvlText w:val=""/>
      <w:lvlJc w:val="left"/>
      <w:pPr>
        <w:tabs>
          <w:tab w:val="num" w:pos="1440"/>
        </w:tabs>
        <w:ind w:left="1440" w:hanging="360"/>
      </w:pPr>
      <w:rPr>
        <w:rFonts w:ascii="Wingdings" w:hAnsi="Wingdings" w:hint="default"/>
      </w:rPr>
    </w:lvl>
    <w:lvl w:ilvl="2" w:tplc="26608C78" w:tentative="1">
      <w:start w:val="1"/>
      <w:numFmt w:val="bullet"/>
      <w:lvlText w:val=""/>
      <w:lvlJc w:val="left"/>
      <w:pPr>
        <w:tabs>
          <w:tab w:val="num" w:pos="2160"/>
        </w:tabs>
        <w:ind w:left="2160" w:hanging="360"/>
      </w:pPr>
      <w:rPr>
        <w:rFonts w:ascii="Wingdings" w:hAnsi="Wingdings" w:hint="default"/>
      </w:rPr>
    </w:lvl>
    <w:lvl w:ilvl="3" w:tplc="78D29522" w:tentative="1">
      <w:start w:val="1"/>
      <w:numFmt w:val="bullet"/>
      <w:lvlText w:val=""/>
      <w:lvlJc w:val="left"/>
      <w:pPr>
        <w:tabs>
          <w:tab w:val="num" w:pos="2880"/>
        </w:tabs>
        <w:ind w:left="2880" w:hanging="360"/>
      </w:pPr>
      <w:rPr>
        <w:rFonts w:ascii="Wingdings" w:hAnsi="Wingdings" w:hint="default"/>
      </w:rPr>
    </w:lvl>
    <w:lvl w:ilvl="4" w:tplc="BBAE959E" w:tentative="1">
      <w:start w:val="1"/>
      <w:numFmt w:val="bullet"/>
      <w:lvlText w:val=""/>
      <w:lvlJc w:val="left"/>
      <w:pPr>
        <w:tabs>
          <w:tab w:val="num" w:pos="3600"/>
        </w:tabs>
        <w:ind w:left="3600" w:hanging="360"/>
      </w:pPr>
      <w:rPr>
        <w:rFonts w:ascii="Wingdings" w:hAnsi="Wingdings" w:hint="default"/>
      </w:rPr>
    </w:lvl>
    <w:lvl w:ilvl="5" w:tplc="3C5058F0" w:tentative="1">
      <w:start w:val="1"/>
      <w:numFmt w:val="bullet"/>
      <w:lvlText w:val=""/>
      <w:lvlJc w:val="left"/>
      <w:pPr>
        <w:tabs>
          <w:tab w:val="num" w:pos="4320"/>
        </w:tabs>
        <w:ind w:left="4320" w:hanging="360"/>
      </w:pPr>
      <w:rPr>
        <w:rFonts w:ascii="Wingdings" w:hAnsi="Wingdings" w:hint="default"/>
      </w:rPr>
    </w:lvl>
    <w:lvl w:ilvl="6" w:tplc="51FE18A4" w:tentative="1">
      <w:start w:val="1"/>
      <w:numFmt w:val="bullet"/>
      <w:lvlText w:val=""/>
      <w:lvlJc w:val="left"/>
      <w:pPr>
        <w:tabs>
          <w:tab w:val="num" w:pos="5040"/>
        </w:tabs>
        <w:ind w:left="5040" w:hanging="360"/>
      </w:pPr>
      <w:rPr>
        <w:rFonts w:ascii="Wingdings" w:hAnsi="Wingdings" w:hint="default"/>
      </w:rPr>
    </w:lvl>
    <w:lvl w:ilvl="7" w:tplc="A3661FDE" w:tentative="1">
      <w:start w:val="1"/>
      <w:numFmt w:val="bullet"/>
      <w:lvlText w:val=""/>
      <w:lvlJc w:val="left"/>
      <w:pPr>
        <w:tabs>
          <w:tab w:val="num" w:pos="5760"/>
        </w:tabs>
        <w:ind w:left="5760" w:hanging="360"/>
      </w:pPr>
      <w:rPr>
        <w:rFonts w:ascii="Wingdings" w:hAnsi="Wingdings" w:hint="default"/>
      </w:rPr>
    </w:lvl>
    <w:lvl w:ilvl="8" w:tplc="FE1C15A4" w:tentative="1">
      <w:start w:val="1"/>
      <w:numFmt w:val="bullet"/>
      <w:lvlText w:val=""/>
      <w:lvlJc w:val="left"/>
      <w:pPr>
        <w:tabs>
          <w:tab w:val="num" w:pos="6480"/>
        </w:tabs>
        <w:ind w:left="6480" w:hanging="360"/>
      </w:pPr>
      <w:rPr>
        <w:rFonts w:ascii="Wingdings" w:hAnsi="Wingdings" w:hint="default"/>
      </w:rPr>
    </w:lvl>
  </w:abstractNum>
  <w:abstractNum w:abstractNumId="10">
    <w:nsid w:val="35AD79EC"/>
    <w:multiLevelType w:val="hybridMultilevel"/>
    <w:tmpl w:val="6930ADF8"/>
    <w:lvl w:ilvl="0" w:tplc="B55E6FDE">
      <w:start w:val="1"/>
      <w:numFmt w:val="bullet"/>
      <w:lvlText w:val=""/>
      <w:lvlJc w:val="left"/>
      <w:pPr>
        <w:tabs>
          <w:tab w:val="num" w:pos="720"/>
        </w:tabs>
        <w:ind w:left="720" w:hanging="360"/>
      </w:pPr>
      <w:rPr>
        <w:rFonts w:ascii="Wingdings" w:hAnsi="Wingdings" w:hint="default"/>
      </w:rPr>
    </w:lvl>
    <w:lvl w:ilvl="1" w:tplc="1E4A4AEE">
      <w:start w:val="2288"/>
      <w:numFmt w:val="bullet"/>
      <w:lvlText w:val="•"/>
      <w:lvlJc w:val="left"/>
      <w:pPr>
        <w:tabs>
          <w:tab w:val="num" w:pos="1440"/>
        </w:tabs>
        <w:ind w:left="1440" w:hanging="360"/>
      </w:pPr>
      <w:rPr>
        <w:rFonts w:ascii="Arial" w:hAnsi="Arial" w:hint="default"/>
      </w:rPr>
    </w:lvl>
    <w:lvl w:ilvl="2" w:tplc="1BD077F6" w:tentative="1">
      <w:start w:val="1"/>
      <w:numFmt w:val="bullet"/>
      <w:lvlText w:val=""/>
      <w:lvlJc w:val="left"/>
      <w:pPr>
        <w:tabs>
          <w:tab w:val="num" w:pos="2160"/>
        </w:tabs>
        <w:ind w:left="2160" w:hanging="360"/>
      </w:pPr>
      <w:rPr>
        <w:rFonts w:ascii="Wingdings" w:hAnsi="Wingdings" w:hint="default"/>
      </w:rPr>
    </w:lvl>
    <w:lvl w:ilvl="3" w:tplc="B7106982" w:tentative="1">
      <w:start w:val="1"/>
      <w:numFmt w:val="bullet"/>
      <w:lvlText w:val=""/>
      <w:lvlJc w:val="left"/>
      <w:pPr>
        <w:tabs>
          <w:tab w:val="num" w:pos="2880"/>
        </w:tabs>
        <w:ind w:left="2880" w:hanging="360"/>
      </w:pPr>
      <w:rPr>
        <w:rFonts w:ascii="Wingdings" w:hAnsi="Wingdings" w:hint="default"/>
      </w:rPr>
    </w:lvl>
    <w:lvl w:ilvl="4" w:tplc="23641BD0" w:tentative="1">
      <w:start w:val="1"/>
      <w:numFmt w:val="bullet"/>
      <w:lvlText w:val=""/>
      <w:lvlJc w:val="left"/>
      <w:pPr>
        <w:tabs>
          <w:tab w:val="num" w:pos="3600"/>
        </w:tabs>
        <w:ind w:left="3600" w:hanging="360"/>
      </w:pPr>
      <w:rPr>
        <w:rFonts w:ascii="Wingdings" w:hAnsi="Wingdings" w:hint="default"/>
      </w:rPr>
    </w:lvl>
    <w:lvl w:ilvl="5" w:tplc="74AEB182" w:tentative="1">
      <w:start w:val="1"/>
      <w:numFmt w:val="bullet"/>
      <w:lvlText w:val=""/>
      <w:lvlJc w:val="left"/>
      <w:pPr>
        <w:tabs>
          <w:tab w:val="num" w:pos="4320"/>
        </w:tabs>
        <w:ind w:left="4320" w:hanging="360"/>
      </w:pPr>
      <w:rPr>
        <w:rFonts w:ascii="Wingdings" w:hAnsi="Wingdings" w:hint="default"/>
      </w:rPr>
    </w:lvl>
    <w:lvl w:ilvl="6" w:tplc="4654501A" w:tentative="1">
      <w:start w:val="1"/>
      <w:numFmt w:val="bullet"/>
      <w:lvlText w:val=""/>
      <w:lvlJc w:val="left"/>
      <w:pPr>
        <w:tabs>
          <w:tab w:val="num" w:pos="5040"/>
        </w:tabs>
        <w:ind w:left="5040" w:hanging="360"/>
      </w:pPr>
      <w:rPr>
        <w:rFonts w:ascii="Wingdings" w:hAnsi="Wingdings" w:hint="default"/>
      </w:rPr>
    </w:lvl>
    <w:lvl w:ilvl="7" w:tplc="50809E5C" w:tentative="1">
      <w:start w:val="1"/>
      <w:numFmt w:val="bullet"/>
      <w:lvlText w:val=""/>
      <w:lvlJc w:val="left"/>
      <w:pPr>
        <w:tabs>
          <w:tab w:val="num" w:pos="5760"/>
        </w:tabs>
        <w:ind w:left="5760" w:hanging="360"/>
      </w:pPr>
      <w:rPr>
        <w:rFonts w:ascii="Wingdings" w:hAnsi="Wingdings" w:hint="default"/>
      </w:rPr>
    </w:lvl>
    <w:lvl w:ilvl="8" w:tplc="DF8A5466" w:tentative="1">
      <w:start w:val="1"/>
      <w:numFmt w:val="bullet"/>
      <w:lvlText w:val=""/>
      <w:lvlJc w:val="left"/>
      <w:pPr>
        <w:tabs>
          <w:tab w:val="num" w:pos="6480"/>
        </w:tabs>
        <w:ind w:left="6480" w:hanging="360"/>
      </w:pPr>
      <w:rPr>
        <w:rFonts w:ascii="Wingdings" w:hAnsi="Wingdings" w:hint="default"/>
      </w:rPr>
    </w:lvl>
  </w:abstractNum>
  <w:abstractNum w:abstractNumId="11">
    <w:nsid w:val="380E2E53"/>
    <w:multiLevelType w:val="hybridMultilevel"/>
    <w:tmpl w:val="A7AAA6B4"/>
    <w:lvl w:ilvl="0" w:tplc="04090001">
      <w:start w:val="1"/>
      <w:numFmt w:val="bullet"/>
      <w:lvlText w:val=""/>
      <w:lvlJc w:val="left"/>
      <w:pPr>
        <w:tabs>
          <w:tab w:val="num" w:pos="1080"/>
        </w:tabs>
        <w:ind w:left="1080" w:hanging="360"/>
      </w:pPr>
      <w:rPr>
        <w:rFonts w:ascii="Symbol" w:hAnsi="Symbol" w:hint="default"/>
      </w:rPr>
    </w:lvl>
    <w:lvl w:ilvl="1" w:tplc="BB6A71DA" w:tentative="1">
      <w:start w:val="1"/>
      <w:numFmt w:val="bullet"/>
      <w:lvlText w:val=""/>
      <w:lvlJc w:val="left"/>
      <w:pPr>
        <w:tabs>
          <w:tab w:val="num" w:pos="1800"/>
        </w:tabs>
        <w:ind w:left="1800" w:hanging="360"/>
      </w:pPr>
      <w:rPr>
        <w:rFonts w:ascii="Wingdings" w:hAnsi="Wingdings" w:hint="default"/>
      </w:rPr>
    </w:lvl>
    <w:lvl w:ilvl="2" w:tplc="2A267CD8" w:tentative="1">
      <w:start w:val="1"/>
      <w:numFmt w:val="bullet"/>
      <w:lvlText w:val=""/>
      <w:lvlJc w:val="left"/>
      <w:pPr>
        <w:tabs>
          <w:tab w:val="num" w:pos="2520"/>
        </w:tabs>
        <w:ind w:left="2520" w:hanging="360"/>
      </w:pPr>
      <w:rPr>
        <w:rFonts w:ascii="Wingdings" w:hAnsi="Wingdings" w:hint="default"/>
      </w:rPr>
    </w:lvl>
    <w:lvl w:ilvl="3" w:tplc="D2328114" w:tentative="1">
      <w:start w:val="1"/>
      <w:numFmt w:val="bullet"/>
      <w:lvlText w:val=""/>
      <w:lvlJc w:val="left"/>
      <w:pPr>
        <w:tabs>
          <w:tab w:val="num" w:pos="3240"/>
        </w:tabs>
        <w:ind w:left="3240" w:hanging="360"/>
      </w:pPr>
      <w:rPr>
        <w:rFonts w:ascii="Wingdings" w:hAnsi="Wingdings" w:hint="default"/>
      </w:rPr>
    </w:lvl>
    <w:lvl w:ilvl="4" w:tplc="4412C726" w:tentative="1">
      <w:start w:val="1"/>
      <w:numFmt w:val="bullet"/>
      <w:lvlText w:val=""/>
      <w:lvlJc w:val="left"/>
      <w:pPr>
        <w:tabs>
          <w:tab w:val="num" w:pos="3960"/>
        </w:tabs>
        <w:ind w:left="3960" w:hanging="360"/>
      </w:pPr>
      <w:rPr>
        <w:rFonts w:ascii="Wingdings" w:hAnsi="Wingdings" w:hint="default"/>
      </w:rPr>
    </w:lvl>
    <w:lvl w:ilvl="5" w:tplc="89286592" w:tentative="1">
      <w:start w:val="1"/>
      <w:numFmt w:val="bullet"/>
      <w:lvlText w:val=""/>
      <w:lvlJc w:val="left"/>
      <w:pPr>
        <w:tabs>
          <w:tab w:val="num" w:pos="4680"/>
        </w:tabs>
        <w:ind w:left="4680" w:hanging="360"/>
      </w:pPr>
      <w:rPr>
        <w:rFonts w:ascii="Wingdings" w:hAnsi="Wingdings" w:hint="default"/>
      </w:rPr>
    </w:lvl>
    <w:lvl w:ilvl="6" w:tplc="23EC89E2" w:tentative="1">
      <w:start w:val="1"/>
      <w:numFmt w:val="bullet"/>
      <w:lvlText w:val=""/>
      <w:lvlJc w:val="left"/>
      <w:pPr>
        <w:tabs>
          <w:tab w:val="num" w:pos="5400"/>
        </w:tabs>
        <w:ind w:left="5400" w:hanging="360"/>
      </w:pPr>
      <w:rPr>
        <w:rFonts w:ascii="Wingdings" w:hAnsi="Wingdings" w:hint="default"/>
      </w:rPr>
    </w:lvl>
    <w:lvl w:ilvl="7" w:tplc="22348636" w:tentative="1">
      <w:start w:val="1"/>
      <w:numFmt w:val="bullet"/>
      <w:lvlText w:val=""/>
      <w:lvlJc w:val="left"/>
      <w:pPr>
        <w:tabs>
          <w:tab w:val="num" w:pos="6120"/>
        </w:tabs>
        <w:ind w:left="6120" w:hanging="360"/>
      </w:pPr>
      <w:rPr>
        <w:rFonts w:ascii="Wingdings" w:hAnsi="Wingdings" w:hint="default"/>
      </w:rPr>
    </w:lvl>
    <w:lvl w:ilvl="8" w:tplc="6A361FFA" w:tentative="1">
      <w:start w:val="1"/>
      <w:numFmt w:val="bullet"/>
      <w:lvlText w:val=""/>
      <w:lvlJc w:val="left"/>
      <w:pPr>
        <w:tabs>
          <w:tab w:val="num" w:pos="6840"/>
        </w:tabs>
        <w:ind w:left="6840" w:hanging="360"/>
      </w:pPr>
      <w:rPr>
        <w:rFonts w:ascii="Wingdings" w:hAnsi="Wingdings" w:hint="default"/>
      </w:rPr>
    </w:lvl>
  </w:abstractNum>
  <w:abstractNum w:abstractNumId="12">
    <w:nsid w:val="3F3E73FA"/>
    <w:multiLevelType w:val="hybridMultilevel"/>
    <w:tmpl w:val="2188D2F4"/>
    <w:lvl w:ilvl="0" w:tplc="9C0E75CE">
      <w:start w:val="1"/>
      <w:numFmt w:val="bullet"/>
      <w:lvlText w:val=""/>
      <w:lvlJc w:val="left"/>
      <w:pPr>
        <w:tabs>
          <w:tab w:val="num" w:pos="720"/>
        </w:tabs>
        <w:ind w:left="720" w:hanging="360"/>
      </w:pPr>
      <w:rPr>
        <w:rFonts w:ascii="Wingdings" w:hAnsi="Wingdings" w:hint="default"/>
      </w:rPr>
    </w:lvl>
    <w:lvl w:ilvl="1" w:tplc="BEAC4B76" w:tentative="1">
      <w:start w:val="1"/>
      <w:numFmt w:val="bullet"/>
      <w:lvlText w:val=""/>
      <w:lvlJc w:val="left"/>
      <w:pPr>
        <w:tabs>
          <w:tab w:val="num" w:pos="1440"/>
        </w:tabs>
        <w:ind w:left="1440" w:hanging="360"/>
      </w:pPr>
      <w:rPr>
        <w:rFonts w:ascii="Wingdings" w:hAnsi="Wingdings" w:hint="default"/>
      </w:rPr>
    </w:lvl>
    <w:lvl w:ilvl="2" w:tplc="715C6F4C" w:tentative="1">
      <w:start w:val="1"/>
      <w:numFmt w:val="bullet"/>
      <w:lvlText w:val=""/>
      <w:lvlJc w:val="left"/>
      <w:pPr>
        <w:tabs>
          <w:tab w:val="num" w:pos="2160"/>
        </w:tabs>
        <w:ind w:left="2160" w:hanging="360"/>
      </w:pPr>
      <w:rPr>
        <w:rFonts w:ascii="Wingdings" w:hAnsi="Wingdings" w:hint="default"/>
      </w:rPr>
    </w:lvl>
    <w:lvl w:ilvl="3" w:tplc="2A904316" w:tentative="1">
      <w:start w:val="1"/>
      <w:numFmt w:val="bullet"/>
      <w:lvlText w:val=""/>
      <w:lvlJc w:val="left"/>
      <w:pPr>
        <w:tabs>
          <w:tab w:val="num" w:pos="2880"/>
        </w:tabs>
        <w:ind w:left="2880" w:hanging="360"/>
      </w:pPr>
      <w:rPr>
        <w:rFonts w:ascii="Wingdings" w:hAnsi="Wingdings" w:hint="default"/>
      </w:rPr>
    </w:lvl>
    <w:lvl w:ilvl="4" w:tplc="03866CC2" w:tentative="1">
      <w:start w:val="1"/>
      <w:numFmt w:val="bullet"/>
      <w:lvlText w:val=""/>
      <w:lvlJc w:val="left"/>
      <w:pPr>
        <w:tabs>
          <w:tab w:val="num" w:pos="3600"/>
        </w:tabs>
        <w:ind w:left="3600" w:hanging="360"/>
      </w:pPr>
      <w:rPr>
        <w:rFonts w:ascii="Wingdings" w:hAnsi="Wingdings" w:hint="default"/>
      </w:rPr>
    </w:lvl>
    <w:lvl w:ilvl="5" w:tplc="D9C03E0C" w:tentative="1">
      <w:start w:val="1"/>
      <w:numFmt w:val="bullet"/>
      <w:lvlText w:val=""/>
      <w:lvlJc w:val="left"/>
      <w:pPr>
        <w:tabs>
          <w:tab w:val="num" w:pos="4320"/>
        </w:tabs>
        <w:ind w:left="4320" w:hanging="360"/>
      </w:pPr>
      <w:rPr>
        <w:rFonts w:ascii="Wingdings" w:hAnsi="Wingdings" w:hint="default"/>
      </w:rPr>
    </w:lvl>
    <w:lvl w:ilvl="6" w:tplc="C764D0B6" w:tentative="1">
      <w:start w:val="1"/>
      <w:numFmt w:val="bullet"/>
      <w:lvlText w:val=""/>
      <w:lvlJc w:val="left"/>
      <w:pPr>
        <w:tabs>
          <w:tab w:val="num" w:pos="5040"/>
        </w:tabs>
        <w:ind w:left="5040" w:hanging="360"/>
      </w:pPr>
      <w:rPr>
        <w:rFonts w:ascii="Wingdings" w:hAnsi="Wingdings" w:hint="default"/>
      </w:rPr>
    </w:lvl>
    <w:lvl w:ilvl="7" w:tplc="6062EADC" w:tentative="1">
      <w:start w:val="1"/>
      <w:numFmt w:val="bullet"/>
      <w:lvlText w:val=""/>
      <w:lvlJc w:val="left"/>
      <w:pPr>
        <w:tabs>
          <w:tab w:val="num" w:pos="5760"/>
        </w:tabs>
        <w:ind w:left="5760" w:hanging="360"/>
      </w:pPr>
      <w:rPr>
        <w:rFonts w:ascii="Wingdings" w:hAnsi="Wingdings" w:hint="default"/>
      </w:rPr>
    </w:lvl>
    <w:lvl w:ilvl="8" w:tplc="AD0422B6" w:tentative="1">
      <w:start w:val="1"/>
      <w:numFmt w:val="bullet"/>
      <w:lvlText w:val=""/>
      <w:lvlJc w:val="left"/>
      <w:pPr>
        <w:tabs>
          <w:tab w:val="num" w:pos="6480"/>
        </w:tabs>
        <w:ind w:left="6480" w:hanging="360"/>
      </w:pPr>
      <w:rPr>
        <w:rFonts w:ascii="Wingdings" w:hAnsi="Wingdings" w:hint="default"/>
      </w:rPr>
    </w:lvl>
  </w:abstractNum>
  <w:abstractNum w:abstractNumId="13">
    <w:nsid w:val="47F00ACE"/>
    <w:multiLevelType w:val="hybridMultilevel"/>
    <w:tmpl w:val="7F60ED34"/>
    <w:lvl w:ilvl="0" w:tplc="D8049AD2">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902366"/>
    <w:multiLevelType w:val="hybridMultilevel"/>
    <w:tmpl w:val="8BA84C00"/>
    <w:lvl w:ilvl="0" w:tplc="0409000F">
      <w:start w:val="1"/>
      <w:numFmt w:val="decimal"/>
      <w:lvlText w:val="%1."/>
      <w:lvlJc w:val="left"/>
      <w:pPr>
        <w:tabs>
          <w:tab w:val="num" w:pos="720"/>
        </w:tabs>
        <w:ind w:left="720" w:hanging="360"/>
      </w:pPr>
      <w:rPr>
        <w:rFonts w:hint="default"/>
      </w:rPr>
    </w:lvl>
    <w:lvl w:ilvl="1" w:tplc="2624B38C">
      <w:start w:val="1"/>
      <w:numFmt w:val="bullet"/>
      <w:lvlText w:val="•"/>
      <w:lvlJc w:val="left"/>
      <w:pPr>
        <w:tabs>
          <w:tab w:val="num" w:pos="1440"/>
        </w:tabs>
        <w:ind w:left="1440" w:hanging="360"/>
      </w:pPr>
      <w:rPr>
        <w:rFonts w:ascii="Arial" w:hAnsi="Arial" w:hint="default"/>
      </w:rPr>
    </w:lvl>
    <w:lvl w:ilvl="2" w:tplc="B8507C66" w:tentative="1">
      <w:start w:val="1"/>
      <w:numFmt w:val="bullet"/>
      <w:lvlText w:val="•"/>
      <w:lvlJc w:val="left"/>
      <w:pPr>
        <w:tabs>
          <w:tab w:val="num" w:pos="2160"/>
        </w:tabs>
        <w:ind w:left="2160" w:hanging="360"/>
      </w:pPr>
      <w:rPr>
        <w:rFonts w:ascii="Arial" w:hAnsi="Arial" w:hint="default"/>
      </w:rPr>
    </w:lvl>
    <w:lvl w:ilvl="3" w:tplc="C9901324" w:tentative="1">
      <w:start w:val="1"/>
      <w:numFmt w:val="bullet"/>
      <w:lvlText w:val="•"/>
      <w:lvlJc w:val="left"/>
      <w:pPr>
        <w:tabs>
          <w:tab w:val="num" w:pos="2880"/>
        </w:tabs>
        <w:ind w:left="2880" w:hanging="360"/>
      </w:pPr>
      <w:rPr>
        <w:rFonts w:ascii="Arial" w:hAnsi="Arial" w:hint="default"/>
      </w:rPr>
    </w:lvl>
    <w:lvl w:ilvl="4" w:tplc="B8EEF064" w:tentative="1">
      <w:start w:val="1"/>
      <w:numFmt w:val="bullet"/>
      <w:lvlText w:val="•"/>
      <w:lvlJc w:val="left"/>
      <w:pPr>
        <w:tabs>
          <w:tab w:val="num" w:pos="3600"/>
        </w:tabs>
        <w:ind w:left="3600" w:hanging="360"/>
      </w:pPr>
      <w:rPr>
        <w:rFonts w:ascii="Arial" w:hAnsi="Arial" w:hint="default"/>
      </w:rPr>
    </w:lvl>
    <w:lvl w:ilvl="5" w:tplc="BF00FE32" w:tentative="1">
      <w:start w:val="1"/>
      <w:numFmt w:val="bullet"/>
      <w:lvlText w:val="•"/>
      <w:lvlJc w:val="left"/>
      <w:pPr>
        <w:tabs>
          <w:tab w:val="num" w:pos="4320"/>
        </w:tabs>
        <w:ind w:left="4320" w:hanging="360"/>
      </w:pPr>
      <w:rPr>
        <w:rFonts w:ascii="Arial" w:hAnsi="Arial" w:hint="default"/>
      </w:rPr>
    </w:lvl>
    <w:lvl w:ilvl="6" w:tplc="654A63B2" w:tentative="1">
      <w:start w:val="1"/>
      <w:numFmt w:val="bullet"/>
      <w:lvlText w:val="•"/>
      <w:lvlJc w:val="left"/>
      <w:pPr>
        <w:tabs>
          <w:tab w:val="num" w:pos="5040"/>
        </w:tabs>
        <w:ind w:left="5040" w:hanging="360"/>
      </w:pPr>
      <w:rPr>
        <w:rFonts w:ascii="Arial" w:hAnsi="Arial" w:hint="default"/>
      </w:rPr>
    </w:lvl>
    <w:lvl w:ilvl="7" w:tplc="298C2FAA" w:tentative="1">
      <w:start w:val="1"/>
      <w:numFmt w:val="bullet"/>
      <w:lvlText w:val="•"/>
      <w:lvlJc w:val="left"/>
      <w:pPr>
        <w:tabs>
          <w:tab w:val="num" w:pos="5760"/>
        </w:tabs>
        <w:ind w:left="5760" w:hanging="360"/>
      </w:pPr>
      <w:rPr>
        <w:rFonts w:ascii="Arial" w:hAnsi="Arial" w:hint="default"/>
      </w:rPr>
    </w:lvl>
    <w:lvl w:ilvl="8" w:tplc="131098B4" w:tentative="1">
      <w:start w:val="1"/>
      <w:numFmt w:val="bullet"/>
      <w:lvlText w:val="•"/>
      <w:lvlJc w:val="left"/>
      <w:pPr>
        <w:tabs>
          <w:tab w:val="num" w:pos="6480"/>
        </w:tabs>
        <w:ind w:left="6480" w:hanging="360"/>
      </w:pPr>
      <w:rPr>
        <w:rFonts w:ascii="Arial" w:hAnsi="Arial" w:hint="default"/>
      </w:rPr>
    </w:lvl>
  </w:abstractNum>
  <w:abstractNum w:abstractNumId="15">
    <w:nsid w:val="549239C1"/>
    <w:multiLevelType w:val="hybridMultilevel"/>
    <w:tmpl w:val="ABCC4BDE"/>
    <w:lvl w:ilvl="0" w:tplc="0F64DC18">
      <w:start w:val="1"/>
      <w:numFmt w:val="decimal"/>
      <w:lvlText w:val="%1."/>
      <w:lvlJc w:val="left"/>
      <w:pPr>
        <w:tabs>
          <w:tab w:val="num" w:pos="720"/>
        </w:tabs>
        <w:ind w:left="720" w:hanging="360"/>
      </w:pPr>
    </w:lvl>
    <w:lvl w:ilvl="1" w:tplc="2606303E" w:tentative="1">
      <w:start w:val="1"/>
      <w:numFmt w:val="decimal"/>
      <w:lvlText w:val="%2."/>
      <w:lvlJc w:val="left"/>
      <w:pPr>
        <w:tabs>
          <w:tab w:val="num" w:pos="1440"/>
        </w:tabs>
        <w:ind w:left="1440" w:hanging="360"/>
      </w:pPr>
    </w:lvl>
    <w:lvl w:ilvl="2" w:tplc="41A839D0" w:tentative="1">
      <w:start w:val="1"/>
      <w:numFmt w:val="decimal"/>
      <w:lvlText w:val="%3."/>
      <w:lvlJc w:val="left"/>
      <w:pPr>
        <w:tabs>
          <w:tab w:val="num" w:pos="2160"/>
        </w:tabs>
        <w:ind w:left="2160" w:hanging="360"/>
      </w:pPr>
    </w:lvl>
    <w:lvl w:ilvl="3" w:tplc="702EF6F8" w:tentative="1">
      <w:start w:val="1"/>
      <w:numFmt w:val="decimal"/>
      <w:lvlText w:val="%4."/>
      <w:lvlJc w:val="left"/>
      <w:pPr>
        <w:tabs>
          <w:tab w:val="num" w:pos="2880"/>
        </w:tabs>
        <w:ind w:left="2880" w:hanging="360"/>
      </w:pPr>
    </w:lvl>
    <w:lvl w:ilvl="4" w:tplc="47865E82" w:tentative="1">
      <w:start w:val="1"/>
      <w:numFmt w:val="decimal"/>
      <w:lvlText w:val="%5."/>
      <w:lvlJc w:val="left"/>
      <w:pPr>
        <w:tabs>
          <w:tab w:val="num" w:pos="3600"/>
        </w:tabs>
        <w:ind w:left="3600" w:hanging="360"/>
      </w:pPr>
    </w:lvl>
    <w:lvl w:ilvl="5" w:tplc="152C902A" w:tentative="1">
      <w:start w:val="1"/>
      <w:numFmt w:val="decimal"/>
      <w:lvlText w:val="%6."/>
      <w:lvlJc w:val="left"/>
      <w:pPr>
        <w:tabs>
          <w:tab w:val="num" w:pos="4320"/>
        </w:tabs>
        <w:ind w:left="4320" w:hanging="360"/>
      </w:pPr>
    </w:lvl>
    <w:lvl w:ilvl="6" w:tplc="1F36A3B0" w:tentative="1">
      <w:start w:val="1"/>
      <w:numFmt w:val="decimal"/>
      <w:lvlText w:val="%7."/>
      <w:lvlJc w:val="left"/>
      <w:pPr>
        <w:tabs>
          <w:tab w:val="num" w:pos="5040"/>
        </w:tabs>
        <w:ind w:left="5040" w:hanging="360"/>
      </w:pPr>
    </w:lvl>
    <w:lvl w:ilvl="7" w:tplc="417A30AA" w:tentative="1">
      <w:start w:val="1"/>
      <w:numFmt w:val="decimal"/>
      <w:lvlText w:val="%8."/>
      <w:lvlJc w:val="left"/>
      <w:pPr>
        <w:tabs>
          <w:tab w:val="num" w:pos="5760"/>
        </w:tabs>
        <w:ind w:left="5760" w:hanging="360"/>
      </w:pPr>
    </w:lvl>
    <w:lvl w:ilvl="8" w:tplc="483200A4" w:tentative="1">
      <w:start w:val="1"/>
      <w:numFmt w:val="decimal"/>
      <w:lvlText w:val="%9."/>
      <w:lvlJc w:val="left"/>
      <w:pPr>
        <w:tabs>
          <w:tab w:val="num" w:pos="6480"/>
        </w:tabs>
        <w:ind w:left="6480" w:hanging="360"/>
      </w:pPr>
    </w:lvl>
  </w:abstractNum>
  <w:abstractNum w:abstractNumId="16">
    <w:nsid w:val="595D7B50"/>
    <w:multiLevelType w:val="hybridMultilevel"/>
    <w:tmpl w:val="9F78599E"/>
    <w:lvl w:ilvl="0" w:tplc="A7C4918A">
      <w:start w:val="1"/>
      <w:numFmt w:val="decimal"/>
      <w:lvlText w:val="%1."/>
      <w:lvlJc w:val="left"/>
      <w:pPr>
        <w:ind w:left="36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1" w:tplc="F90CEAC6">
      <w:start w:val="1"/>
      <w:numFmt w:val="lowerLetter"/>
      <w:lvlText w:val="%2"/>
      <w:lvlJc w:val="left"/>
      <w:pPr>
        <w:ind w:left="108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2" w:tplc="4364BB6E">
      <w:start w:val="1"/>
      <w:numFmt w:val="lowerRoman"/>
      <w:lvlText w:val="%3"/>
      <w:lvlJc w:val="left"/>
      <w:pPr>
        <w:ind w:left="180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3" w:tplc="ECF86B9C">
      <w:start w:val="1"/>
      <w:numFmt w:val="decimal"/>
      <w:lvlText w:val="%4"/>
      <w:lvlJc w:val="left"/>
      <w:pPr>
        <w:ind w:left="252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4" w:tplc="D05CE298">
      <w:start w:val="1"/>
      <w:numFmt w:val="lowerLetter"/>
      <w:lvlText w:val="%5"/>
      <w:lvlJc w:val="left"/>
      <w:pPr>
        <w:ind w:left="324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5" w:tplc="906855DC">
      <w:start w:val="1"/>
      <w:numFmt w:val="lowerRoman"/>
      <w:lvlText w:val="%6"/>
      <w:lvlJc w:val="left"/>
      <w:pPr>
        <w:ind w:left="396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6" w:tplc="3DA0A25A">
      <w:start w:val="1"/>
      <w:numFmt w:val="decimal"/>
      <w:lvlText w:val="%7"/>
      <w:lvlJc w:val="left"/>
      <w:pPr>
        <w:ind w:left="468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7" w:tplc="DBDE6B04">
      <w:start w:val="1"/>
      <w:numFmt w:val="lowerLetter"/>
      <w:lvlText w:val="%8"/>
      <w:lvlJc w:val="left"/>
      <w:pPr>
        <w:ind w:left="540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8" w:tplc="FB5A6792">
      <w:start w:val="1"/>
      <w:numFmt w:val="lowerRoman"/>
      <w:lvlText w:val="%9"/>
      <w:lvlJc w:val="left"/>
      <w:pPr>
        <w:ind w:left="612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abstractNum>
  <w:abstractNum w:abstractNumId="17">
    <w:nsid w:val="5EDC6E93"/>
    <w:multiLevelType w:val="hybridMultilevel"/>
    <w:tmpl w:val="9B7ECF00"/>
    <w:lvl w:ilvl="0" w:tplc="D3D646C6">
      <w:start w:val="1"/>
      <w:numFmt w:val="bullet"/>
      <w:lvlText w:val=""/>
      <w:lvlJc w:val="left"/>
      <w:pPr>
        <w:tabs>
          <w:tab w:val="num" w:pos="720"/>
        </w:tabs>
        <w:ind w:left="720" w:hanging="360"/>
      </w:pPr>
      <w:rPr>
        <w:rFonts w:ascii="Wingdings" w:hAnsi="Wingdings" w:hint="default"/>
      </w:rPr>
    </w:lvl>
    <w:lvl w:ilvl="1" w:tplc="86A27C0E" w:tentative="1">
      <w:start w:val="1"/>
      <w:numFmt w:val="bullet"/>
      <w:lvlText w:val=""/>
      <w:lvlJc w:val="left"/>
      <w:pPr>
        <w:tabs>
          <w:tab w:val="num" w:pos="1440"/>
        </w:tabs>
        <w:ind w:left="1440" w:hanging="360"/>
      </w:pPr>
      <w:rPr>
        <w:rFonts w:ascii="Wingdings" w:hAnsi="Wingdings" w:hint="default"/>
      </w:rPr>
    </w:lvl>
    <w:lvl w:ilvl="2" w:tplc="B5DEB002" w:tentative="1">
      <w:start w:val="1"/>
      <w:numFmt w:val="bullet"/>
      <w:lvlText w:val=""/>
      <w:lvlJc w:val="left"/>
      <w:pPr>
        <w:tabs>
          <w:tab w:val="num" w:pos="2160"/>
        </w:tabs>
        <w:ind w:left="2160" w:hanging="360"/>
      </w:pPr>
      <w:rPr>
        <w:rFonts w:ascii="Wingdings" w:hAnsi="Wingdings" w:hint="default"/>
      </w:rPr>
    </w:lvl>
    <w:lvl w:ilvl="3" w:tplc="E5801B9E" w:tentative="1">
      <w:start w:val="1"/>
      <w:numFmt w:val="bullet"/>
      <w:lvlText w:val=""/>
      <w:lvlJc w:val="left"/>
      <w:pPr>
        <w:tabs>
          <w:tab w:val="num" w:pos="2880"/>
        </w:tabs>
        <w:ind w:left="2880" w:hanging="360"/>
      </w:pPr>
      <w:rPr>
        <w:rFonts w:ascii="Wingdings" w:hAnsi="Wingdings" w:hint="default"/>
      </w:rPr>
    </w:lvl>
    <w:lvl w:ilvl="4" w:tplc="CA92E08C" w:tentative="1">
      <w:start w:val="1"/>
      <w:numFmt w:val="bullet"/>
      <w:lvlText w:val=""/>
      <w:lvlJc w:val="left"/>
      <w:pPr>
        <w:tabs>
          <w:tab w:val="num" w:pos="3600"/>
        </w:tabs>
        <w:ind w:left="3600" w:hanging="360"/>
      </w:pPr>
      <w:rPr>
        <w:rFonts w:ascii="Wingdings" w:hAnsi="Wingdings" w:hint="default"/>
      </w:rPr>
    </w:lvl>
    <w:lvl w:ilvl="5" w:tplc="DD4A1BFC" w:tentative="1">
      <w:start w:val="1"/>
      <w:numFmt w:val="bullet"/>
      <w:lvlText w:val=""/>
      <w:lvlJc w:val="left"/>
      <w:pPr>
        <w:tabs>
          <w:tab w:val="num" w:pos="4320"/>
        </w:tabs>
        <w:ind w:left="4320" w:hanging="360"/>
      </w:pPr>
      <w:rPr>
        <w:rFonts w:ascii="Wingdings" w:hAnsi="Wingdings" w:hint="default"/>
      </w:rPr>
    </w:lvl>
    <w:lvl w:ilvl="6" w:tplc="0BBC8E12" w:tentative="1">
      <w:start w:val="1"/>
      <w:numFmt w:val="bullet"/>
      <w:lvlText w:val=""/>
      <w:lvlJc w:val="left"/>
      <w:pPr>
        <w:tabs>
          <w:tab w:val="num" w:pos="5040"/>
        </w:tabs>
        <w:ind w:left="5040" w:hanging="360"/>
      </w:pPr>
      <w:rPr>
        <w:rFonts w:ascii="Wingdings" w:hAnsi="Wingdings" w:hint="default"/>
      </w:rPr>
    </w:lvl>
    <w:lvl w:ilvl="7" w:tplc="B71C2E2C" w:tentative="1">
      <w:start w:val="1"/>
      <w:numFmt w:val="bullet"/>
      <w:lvlText w:val=""/>
      <w:lvlJc w:val="left"/>
      <w:pPr>
        <w:tabs>
          <w:tab w:val="num" w:pos="5760"/>
        </w:tabs>
        <w:ind w:left="5760" w:hanging="360"/>
      </w:pPr>
      <w:rPr>
        <w:rFonts w:ascii="Wingdings" w:hAnsi="Wingdings" w:hint="default"/>
      </w:rPr>
    </w:lvl>
    <w:lvl w:ilvl="8" w:tplc="A55C59CA" w:tentative="1">
      <w:start w:val="1"/>
      <w:numFmt w:val="bullet"/>
      <w:lvlText w:val=""/>
      <w:lvlJc w:val="left"/>
      <w:pPr>
        <w:tabs>
          <w:tab w:val="num" w:pos="6480"/>
        </w:tabs>
        <w:ind w:left="6480" w:hanging="360"/>
      </w:pPr>
      <w:rPr>
        <w:rFonts w:ascii="Wingdings" w:hAnsi="Wingdings" w:hint="default"/>
      </w:rPr>
    </w:lvl>
  </w:abstractNum>
  <w:abstractNum w:abstractNumId="18">
    <w:nsid w:val="60B127A2"/>
    <w:multiLevelType w:val="hybridMultilevel"/>
    <w:tmpl w:val="65D880E2"/>
    <w:lvl w:ilvl="0" w:tplc="A7C4918A">
      <w:start w:val="1"/>
      <w:numFmt w:val="decimal"/>
      <w:lvlText w:val="%1."/>
      <w:lvlJc w:val="left"/>
      <w:pPr>
        <w:ind w:left="36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91508F"/>
    <w:multiLevelType w:val="hybridMultilevel"/>
    <w:tmpl w:val="6C98A3F6"/>
    <w:lvl w:ilvl="0" w:tplc="0409000F">
      <w:start w:val="1"/>
      <w:numFmt w:val="decimal"/>
      <w:lvlText w:val="%1."/>
      <w:lvlJc w:val="left"/>
      <w:pPr>
        <w:tabs>
          <w:tab w:val="num" w:pos="720"/>
        </w:tabs>
        <w:ind w:left="720" w:hanging="360"/>
      </w:pPr>
      <w:rPr>
        <w:rFonts w:hint="default"/>
      </w:rPr>
    </w:lvl>
    <w:lvl w:ilvl="1" w:tplc="D10680A2" w:tentative="1">
      <w:start w:val="1"/>
      <w:numFmt w:val="bullet"/>
      <w:lvlText w:val=""/>
      <w:lvlJc w:val="left"/>
      <w:pPr>
        <w:tabs>
          <w:tab w:val="num" w:pos="1440"/>
        </w:tabs>
        <w:ind w:left="1440" w:hanging="360"/>
      </w:pPr>
      <w:rPr>
        <w:rFonts w:ascii="Wingdings" w:hAnsi="Wingdings" w:hint="default"/>
      </w:rPr>
    </w:lvl>
    <w:lvl w:ilvl="2" w:tplc="2D86EFB4" w:tentative="1">
      <w:start w:val="1"/>
      <w:numFmt w:val="bullet"/>
      <w:lvlText w:val=""/>
      <w:lvlJc w:val="left"/>
      <w:pPr>
        <w:tabs>
          <w:tab w:val="num" w:pos="2160"/>
        </w:tabs>
        <w:ind w:left="2160" w:hanging="360"/>
      </w:pPr>
      <w:rPr>
        <w:rFonts w:ascii="Wingdings" w:hAnsi="Wingdings" w:hint="default"/>
      </w:rPr>
    </w:lvl>
    <w:lvl w:ilvl="3" w:tplc="76DEA72E" w:tentative="1">
      <w:start w:val="1"/>
      <w:numFmt w:val="bullet"/>
      <w:lvlText w:val=""/>
      <w:lvlJc w:val="left"/>
      <w:pPr>
        <w:tabs>
          <w:tab w:val="num" w:pos="2880"/>
        </w:tabs>
        <w:ind w:left="2880" w:hanging="360"/>
      </w:pPr>
      <w:rPr>
        <w:rFonts w:ascii="Wingdings" w:hAnsi="Wingdings" w:hint="default"/>
      </w:rPr>
    </w:lvl>
    <w:lvl w:ilvl="4" w:tplc="2954068E" w:tentative="1">
      <w:start w:val="1"/>
      <w:numFmt w:val="bullet"/>
      <w:lvlText w:val=""/>
      <w:lvlJc w:val="left"/>
      <w:pPr>
        <w:tabs>
          <w:tab w:val="num" w:pos="3600"/>
        </w:tabs>
        <w:ind w:left="3600" w:hanging="360"/>
      </w:pPr>
      <w:rPr>
        <w:rFonts w:ascii="Wingdings" w:hAnsi="Wingdings" w:hint="default"/>
      </w:rPr>
    </w:lvl>
    <w:lvl w:ilvl="5" w:tplc="D99E1CE2" w:tentative="1">
      <w:start w:val="1"/>
      <w:numFmt w:val="bullet"/>
      <w:lvlText w:val=""/>
      <w:lvlJc w:val="left"/>
      <w:pPr>
        <w:tabs>
          <w:tab w:val="num" w:pos="4320"/>
        </w:tabs>
        <w:ind w:left="4320" w:hanging="360"/>
      </w:pPr>
      <w:rPr>
        <w:rFonts w:ascii="Wingdings" w:hAnsi="Wingdings" w:hint="default"/>
      </w:rPr>
    </w:lvl>
    <w:lvl w:ilvl="6" w:tplc="6E7AB578" w:tentative="1">
      <w:start w:val="1"/>
      <w:numFmt w:val="bullet"/>
      <w:lvlText w:val=""/>
      <w:lvlJc w:val="left"/>
      <w:pPr>
        <w:tabs>
          <w:tab w:val="num" w:pos="5040"/>
        </w:tabs>
        <w:ind w:left="5040" w:hanging="360"/>
      </w:pPr>
      <w:rPr>
        <w:rFonts w:ascii="Wingdings" w:hAnsi="Wingdings" w:hint="default"/>
      </w:rPr>
    </w:lvl>
    <w:lvl w:ilvl="7" w:tplc="3250A3B8" w:tentative="1">
      <w:start w:val="1"/>
      <w:numFmt w:val="bullet"/>
      <w:lvlText w:val=""/>
      <w:lvlJc w:val="left"/>
      <w:pPr>
        <w:tabs>
          <w:tab w:val="num" w:pos="5760"/>
        </w:tabs>
        <w:ind w:left="5760" w:hanging="360"/>
      </w:pPr>
      <w:rPr>
        <w:rFonts w:ascii="Wingdings" w:hAnsi="Wingdings" w:hint="default"/>
      </w:rPr>
    </w:lvl>
    <w:lvl w:ilvl="8" w:tplc="3928355C" w:tentative="1">
      <w:start w:val="1"/>
      <w:numFmt w:val="bullet"/>
      <w:lvlText w:val=""/>
      <w:lvlJc w:val="left"/>
      <w:pPr>
        <w:tabs>
          <w:tab w:val="num" w:pos="6480"/>
        </w:tabs>
        <w:ind w:left="6480" w:hanging="360"/>
      </w:pPr>
      <w:rPr>
        <w:rFonts w:ascii="Wingdings" w:hAnsi="Wingdings" w:hint="default"/>
      </w:rPr>
    </w:lvl>
  </w:abstractNum>
  <w:abstractNum w:abstractNumId="20">
    <w:nsid w:val="67A909A2"/>
    <w:multiLevelType w:val="hybridMultilevel"/>
    <w:tmpl w:val="676ADC7A"/>
    <w:lvl w:ilvl="0" w:tplc="A7C4918A">
      <w:start w:val="1"/>
      <w:numFmt w:val="decimal"/>
      <w:lvlText w:val="%1."/>
      <w:lvlJc w:val="left"/>
      <w:pPr>
        <w:tabs>
          <w:tab w:val="num" w:pos="720"/>
        </w:tabs>
        <w:ind w:left="720" w:hanging="360"/>
      </w:pPr>
      <w:rPr>
        <w:rFonts w:ascii="Franklin Gothic Book" w:eastAsia="Franklin Gothic Book" w:hAnsi="Franklin Gothic Book" w:cs="Franklin Gothic Book" w:hint="default"/>
        <w:b w:val="0"/>
        <w:i w:val="0"/>
        <w:strike w:val="0"/>
        <w:dstrike w:val="0"/>
        <w:color w:val="000000"/>
        <w:sz w:val="22"/>
        <w:szCs w:val="22"/>
        <w:u w:val="none" w:color="000000"/>
        <w:bdr w:val="none" w:sz="0" w:space="0" w:color="auto"/>
        <w:shd w:val="clear" w:color="auto" w:fill="auto"/>
        <w:vertAlign w:val="baseline"/>
      </w:rPr>
    </w:lvl>
    <w:lvl w:ilvl="1" w:tplc="FFAC09D2" w:tentative="1">
      <w:start w:val="1"/>
      <w:numFmt w:val="bullet"/>
      <w:lvlText w:val=""/>
      <w:lvlJc w:val="left"/>
      <w:pPr>
        <w:tabs>
          <w:tab w:val="num" w:pos="1440"/>
        </w:tabs>
        <w:ind w:left="1440" w:hanging="360"/>
      </w:pPr>
      <w:rPr>
        <w:rFonts w:ascii="Wingdings" w:hAnsi="Wingdings" w:hint="default"/>
      </w:rPr>
    </w:lvl>
    <w:lvl w:ilvl="2" w:tplc="F9D4DA48" w:tentative="1">
      <w:start w:val="1"/>
      <w:numFmt w:val="bullet"/>
      <w:lvlText w:val=""/>
      <w:lvlJc w:val="left"/>
      <w:pPr>
        <w:tabs>
          <w:tab w:val="num" w:pos="2160"/>
        </w:tabs>
        <w:ind w:left="2160" w:hanging="360"/>
      </w:pPr>
      <w:rPr>
        <w:rFonts w:ascii="Wingdings" w:hAnsi="Wingdings" w:hint="default"/>
      </w:rPr>
    </w:lvl>
    <w:lvl w:ilvl="3" w:tplc="A5AA1AF0" w:tentative="1">
      <w:start w:val="1"/>
      <w:numFmt w:val="bullet"/>
      <w:lvlText w:val=""/>
      <w:lvlJc w:val="left"/>
      <w:pPr>
        <w:tabs>
          <w:tab w:val="num" w:pos="2880"/>
        </w:tabs>
        <w:ind w:left="2880" w:hanging="360"/>
      </w:pPr>
      <w:rPr>
        <w:rFonts w:ascii="Wingdings" w:hAnsi="Wingdings" w:hint="default"/>
      </w:rPr>
    </w:lvl>
    <w:lvl w:ilvl="4" w:tplc="D610DE76" w:tentative="1">
      <w:start w:val="1"/>
      <w:numFmt w:val="bullet"/>
      <w:lvlText w:val=""/>
      <w:lvlJc w:val="left"/>
      <w:pPr>
        <w:tabs>
          <w:tab w:val="num" w:pos="3600"/>
        </w:tabs>
        <w:ind w:left="3600" w:hanging="360"/>
      </w:pPr>
      <w:rPr>
        <w:rFonts w:ascii="Wingdings" w:hAnsi="Wingdings" w:hint="default"/>
      </w:rPr>
    </w:lvl>
    <w:lvl w:ilvl="5" w:tplc="DBBE8F68" w:tentative="1">
      <w:start w:val="1"/>
      <w:numFmt w:val="bullet"/>
      <w:lvlText w:val=""/>
      <w:lvlJc w:val="left"/>
      <w:pPr>
        <w:tabs>
          <w:tab w:val="num" w:pos="4320"/>
        </w:tabs>
        <w:ind w:left="4320" w:hanging="360"/>
      </w:pPr>
      <w:rPr>
        <w:rFonts w:ascii="Wingdings" w:hAnsi="Wingdings" w:hint="default"/>
      </w:rPr>
    </w:lvl>
    <w:lvl w:ilvl="6" w:tplc="F60A8FC8" w:tentative="1">
      <w:start w:val="1"/>
      <w:numFmt w:val="bullet"/>
      <w:lvlText w:val=""/>
      <w:lvlJc w:val="left"/>
      <w:pPr>
        <w:tabs>
          <w:tab w:val="num" w:pos="5040"/>
        </w:tabs>
        <w:ind w:left="5040" w:hanging="360"/>
      </w:pPr>
      <w:rPr>
        <w:rFonts w:ascii="Wingdings" w:hAnsi="Wingdings" w:hint="default"/>
      </w:rPr>
    </w:lvl>
    <w:lvl w:ilvl="7" w:tplc="8522D136" w:tentative="1">
      <w:start w:val="1"/>
      <w:numFmt w:val="bullet"/>
      <w:lvlText w:val=""/>
      <w:lvlJc w:val="left"/>
      <w:pPr>
        <w:tabs>
          <w:tab w:val="num" w:pos="5760"/>
        </w:tabs>
        <w:ind w:left="5760" w:hanging="360"/>
      </w:pPr>
      <w:rPr>
        <w:rFonts w:ascii="Wingdings" w:hAnsi="Wingdings" w:hint="default"/>
      </w:rPr>
    </w:lvl>
    <w:lvl w:ilvl="8" w:tplc="B4280368" w:tentative="1">
      <w:start w:val="1"/>
      <w:numFmt w:val="bullet"/>
      <w:lvlText w:val=""/>
      <w:lvlJc w:val="left"/>
      <w:pPr>
        <w:tabs>
          <w:tab w:val="num" w:pos="6480"/>
        </w:tabs>
        <w:ind w:left="6480" w:hanging="360"/>
      </w:pPr>
      <w:rPr>
        <w:rFonts w:ascii="Wingdings" w:hAnsi="Wingdings" w:hint="default"/>
      </w:rPr>
    </w:lvl>
  </w:abstractNum>
  <w:abstractNum w:abstractNumId="21">
    <w:nsid w:val="741C167B"/>
    <w:multiLevelType w:val="hybridMultilevel"/>
    <w:tmpl w:val="55ECB6C6"/>
    <w:lvl w:ilvl="0" w:tplc="7B10769E">
      <w:start w:val="1"/>
      <w:numFmt w:val="bullet"/>
      <w:lvlText w:val=""/>
      <w:lvlJc w:val="left"/>
      <w:pPr>
        <w:tabs>
          <w:tab w:val="num" w:pos="720"/>
        </w:tabs>
        <w:ind w:left="720" w:hanging="360"/>
      </w:pPr>
      <w:rPr>
        <w:rFonts w:ascii="Wingdings" w:hAnsi="Wingdings" w:hint="default"/>
      </w:rPr>
    </w:lvl>
    <w:lvl w:ilvl="1" w:tplc="06F677BE" w:tentative="1">
      <w:start w:val="1"/>
      <w:numFmt w:val="bullet"/>
      <w:lvlText w:val=""/>
      <w:lvlJc w:val="left"/>
      <w:pPr>
        <w:tabs>
          <w:tab w:val="num" w:pos="1440"/>
        </w:tabs>
        <w:ind w:left="1440" w:hanging="360"/>
      </w:pPr>
      <w:rPr>
        <w:rFonts w:ascii="Wingdings" w:hAnsi="Wingdings" w:hint="default"/>
      </w:rPr>
    </w:lvl>
    <w:lvl w:ilvl="2" w:tplc="15AA8BD8" w:tentative="1">
      <w:start w:val="1"/>
      <w:numFmt w:val="bullet"/>
      <w:lvlText w:val=""/>
      <w:lvlJc w:val="left"/>
      <w:pPr>
        <w:tabs>
          <w:tab w:val="num" w:pos="2160"/>
        </w:tabs>
        <w:ind w:left="2160" w:hanging="360"/>
      </w:pPr>
      <w:rPr>
        <w:rFonts w:ascii="Wingdings" w:hAnsi="Wingdings" w:hint="default"/>
      </w:rPr>
    </w:lvl>
    <w:lvl w:ilvl="3" w:tplc="6532A94E" w:tentative="1">
      <w:start w:val="1"/>
      <w:numFmt w:val="bullet"/>
      <w:lvlText w:val=""/>
      <w:lvlJc w:val="left"/>
      <w:pPr>
        <w:tabs>
          <w:tab w:val="num" w:pos="2880"/>
        </w:tabs>
        <w:ind w:left="2880" w:hanging="360"/>
      </w:pPr>
      <w:rPr>
        <w:rFonts w:ascii="Wingdings" w:hAnsi="Wingdings" w:hint="default"/>
      </w:rPr>
    </w:lvl>
    <w:lvl w:ilvl="4" w:tplc="B58A246A" w:tentative="1">
      <w:start w:val="1"/>
      <w:numFmt w:val="bullet"/>
      <w:lvlText w:val=""/>
      <w:lvlJc w:val="left"/>
      <w:pPr>
        <w:tabs>
          <w:tab w:val="num" w:pos="3600"/>
        </w:tabs>
        <w:ind w:left="3600" w:hanging="360"/>
      </w:pPr>
      <w:rPr>
        <w:rFonts w:ascii="Wingdings" w:hAnsi="Wingdings" w:hint="default"/>
      </w:rPr>
    </w:lvl>
    <w:lvl w:ilvl="5" w:tplc="40846930" w:tentative="1">
      <w:start w:val="1"/>
      <w:numFmt w:val="bullet"/>
      <w:lvlText w:val=""/>
      <w:lvlJc w:val="left"/>
      <w:pPr>
        <w:tabs>
          <w:tab w:val="num" w:pos="4320"/>
        </w:tabs>
        <w:ind w:left="4320" w:hanging="360"/>
      </w:pPr>
      <w:rPr>
        <w:rFonts w:ascii="Wingdings" w:hAnsi="Wingdings" w:hint="default"/>
      </w:rPr>
    </w:lvl>
    <w:lvl w:ilvl="6" w:tplc="CA665DE6" w:tentative="1">
      <w:start w:val="1"/>
      <w:numFmt w:val="bullet"/>
      <w:lvlText w:val=""/>
      <w:lvlJc w:val="left"/>
      <w:pPr>
        <w:tabs>
          <w:tab w:val="num" w:pos="5040"/>
        </w:tabs>
        <w:ind w:left="5040" w:hanging="360"/>
      </w:pPr>
      <w:rPr>
        <w:rFonts w:ascii="Wingdings" w:hAnsi="Wingdings" w:hint="default"/>
      </w:rPr>
    </w:lvl>
    <w:lvl w:ilvl="7" w:tplc="CD049B3E" w:tentative="1">
      <w:start w:val="1"/>
      <w:numFmt w:val="bullet"/>
      <w:lvlText w:val=""/>
      <w:lvlJc w:val="left"/>
      <w:pPr>
        <w:tabs>
          <w:tab w:val="num" w:pos="5760"/>
        </w:tabs>
        <w:ind w:left="5760" w:hanging="360"/>
      </w:pPr>
      <w:rPr>
        <w:rFonts w:ascii="Wingdings" w:hAnsi="Wingdings" w:hint="default"/>
      </w:rPr>
    </w:lvl>
    <w:lvl w:ilvl="8" w:tplc="240C5BD4" w:tentative="1">
      <w:start w:val="1"/>
      <w:numFmt w:val="bullet"/>
      <w:lvlText w:val=""/>
      <w:lvlJc w:val="left"/>
      <w:pPr>
        <w:tabs>
          <w:tab w:val="num" w:pos="6480"/>
        </w:tabs>
        <w:ind w:left="6480" w:hanging="360"/>
      </w:pPr>
      <w:rPr>
        <w:rFonts w:ascii="Wingdings" w:hAnsi="Wingdings" w:hint="default"/>
      </w:rPr>
    </w:lvl>
  </w:abstractNum>
  <w:abstractNum w:abstractNumId="22">
    <w:nsid w:val="77E96934"/>
    <w:multiLevelType w:val="hybridMultilevel"/>
    <w:tmpl w:val="4EF2F8CC"/>
    <w:lvl w:ilvl="0" w:tplc="18282DCC">
      <w:start w:val="1"/>
      <w:numFmt w:val="bullet"/>
      <w:lvlText w:val=""/>
      <w:lvlJc w:val="left"/>
      <w:pPr>
        <w:tabs>
          <w:tab w:val="num" w:pos="720"/>
        </w:tabs>
        <w:ind w:left="720" w:hanging="360"/>
      </w:pPr>
      <w:rPr>
        <w:rFonts w:ascii="Wingdings" w:hAnsi="Wingdings" w:hint="default"/>
      </w:rPr>
    </w:lvl>
    <w:lvl w:ilvl="1" w:tplc="4D7E5AE2">
      <w:start w:val="1969"/>
      <w:numFmt w:val="bullet"/>
      <w:lvlText w:val="•"/>
      <w:lvlJc w:val="left"/>
      <w:pPr>
        <w:tabs>
          <w:tab w:val="num" w:pos="1440"/>
        </w:tabs>
        <w:ind w:left="1440" w:hanging="360"/>
      </w:pPr>
      <w:rPr>
        <w:rFonts w:ascii="Arial" w:hAnsi="Arial" w:hint="default"/>
      </w:rPr>
    </w:lvl>
    <w:lvl w:ilvl="2" w:tplc="136C57A0" w:tentative="1">
      <w:start w:val="1"/>
      <w:numFmt w:val="bullet"/>
      <w:lvlText w:val=""/>
      <w:lvlJc w:val="left"/>
      <w:pPr>
        <w:tabs>
          <w:tab w:val="num" w:pos="2160"/>
        </w:tabs>
        <w:ind w:left="2160" w:hanging="360"/>
      </w:pPr>
      <w:rPr>
        <w:rFonts w:ascii="Wingdings" w:hAnsi="Wingdings" w:hint="default"/>
      </w:rPr>
    </w:lvl>
    <w:lvl w:ilvl="3" w:tplc="E7B23048" w:tentative="1">
      <w:start w:val="1"/>
      <w:numFmt w:val="bullet"/>
      <w:lvlText w:val=""/>
      <w:lvlJc w:val="left"/>
      <w:pPr>
        <w:tabs>
          <w:tab w:val="num" w:pos="2880"/>
        </w:tabs>
        <w:ind w:left="2880" w:hanging="360"/>
      </w:pPr>
      <w:rPr>
        <w:rFonts w:ascii="Wingdings" w:hAnsi="Wingdings" w:hint="default"/>
      </w:rPr>
    </w:lvl>
    <w:lvl w:ilvl="4" w:tplc="8C9E2326" w:tentative="1">
      <w:start w:val="1"/>
      <w:numFmt w:val="bullet"/>
      <w:lvlText w:val=""/>
      <w:lvlJc w:val="left"/>
      <w:pPr>
        <w:tabs>
          <w:tab w:val="num" w:pos="3600"/>
        </w:tabs>
        <w:ind w:left="3600" w:hanging="360"/>
      </w:pPr>
      <w:rPr>
        <w:rFonts w:ascii="Wingdings" w:hAnsi="Wingdings" w:hint="default"/>
      </w:rPr>
    </w:lvl>
    <w:lvl w:ilvl="5" w:tplc="B2B670CA" w:tentative="1">
      <w:start w:val="1"/>
      <w:numFmt w:val="bullet"/>
      <w:lvlText w:val=""/>
      <w:lvlJc w:val="left"/>
      <w:pPr>
        <w:tabs>
          <w:tab w:val="num" w:pos="4320"/>
        </w:tabs>
        <w:ind w:left="4320" w:hanging="360"/>
      </w:pPr>
      <w:rPr>
        <w:rFonts w:ascii="Wingdings" w:hAnsi="Wingdings" w:hint="default"/>
      </w:rPr>
    </w:lvl>
    <w:lvl w:ilvl="6" w:tplc="54B29B58" w:tentative="1">
      <w:start w:val="1"/>
      <w:numFmt w:val="bullet"/>
      <w:lvlText w:val=""/>
      <w:lvlJc w:val="left"/>
      <w:pPr>
        <w:tabs>
          <w:tab w:val="num" w:pos="5040"/>
        </w:tabs>
        <w:ind w:left="5040" w:hanging="360"/>
      </w:pPr>
      <w:rPr>
        <w:rFonts w:ascii="Wingdings" w:hAnsi="Wingdings" w:hint="default"/>
      </w:rPr>
    </w:lvl>
    <w:lvl w:ilvl="7" w:tplc="2C587D66" w:tentative="1">
      <w:start w:val="1"/>
      <w:numFmt w:val="bullet"/>
      <w:lvlText w:val=""/>
      <w:lvlJc w:val="left"/>
      <w:pPr>
        <w:tabs>
          <w:tab w:val="num" w:pos="5760"/>
        </w:tabs>
        <w:ind w:left="5760" w:hanging="360"/>
      </w:pPr>
      <w:rPr>
        <w:rFonts w:ascii="Wingdings" w:hAnsi="Wingdings" w:hint="default"/>
      </w:rPr>
    </w:lvl>
    <w:lvl w:ilvl="8" w:tplc="1FF8EC1E" w:tentative="1">
      <w:start w:val="1"/>
      <w:numFmt w:val="bullet"/>
      <w:lvlText w:val=""/>
      <w:lvlJc w:val="left"/>
      <w:pPr>
        <w:tabs>
          <w:tab w:val="num" w:pos="6480"/>
        </w:tabs>
        <w:ind w:left="6480" w:hanging="360"/>
      </w:pPr>
      <w:rPr>
        <w:rFonts w:ascii="Wingdings" w:hAnsi="Wingdings" w:hint="default"/>
      </w:rPr>
    </w:lvl>
  </w:abstractNum>
  <w:abstractNum w:abstractNumId="23">
    <w:nsid w:val="78C03F3C"/>
    <w:multiLevelType w:val="hybridMultilevel"/>
    <w:tmpl w:val="237A6BA2"/>
    <w:lvl w:ilvl="0" w:tplc="A2308C70">
      <w:start w:val="1"/>
      <w:numFmt w:val="bullet"/>
      <w:lvlText w:val=""/>
      <w:lvlJc w:val="left"/>
      <w:pPr>
        <w:tabs>
          <w:tab w:val="num" w:pos="720"/>
        </w:tabs>
        <w:ind w:left="720" w:hanging="360"/>
      </w:pPr>
      <w:rPr>
        <w:rFonts w:ascii="Wingdings" w:hAnsi="Wingdings" w:hint="default"/>
      </w:rPr>
    </w:lvl>
    <w:lvl w:ilvl="1" w:tplc="25FA2BAE">
      <w:start w:val="2078"/>
      <w:numFmt w:val="bullet"/>
      <w:lvlText w:val="•"/>
      <w:lvlJc w:val="left"/>
      <w:pPr>
        <w:tabs>
          <w:tab w:val="num" w:pos="1440"/>
        </w:tabs>
        <w:ind w:left="1440" w:hanging="360"/>
      </w:pPr>
      <w:rPr>
        <w:rFonts w:ascii="Arial" w:hAnsi="Arial" w:hint="default"/>
      </w:rPr>
    </w:lvl>
    <w:lvl w:ilvl="2" w:tplc="278EE8EC" w:tentative="1">
      <w:start w:val="1"/>
      <w:numFmt w:val="bullet"/>
      <w:lvlText w:val=""/>
      <w:lvlJc w:val="left"/>
      <w:pPr>
        <w:tabs>
          <w:tab w:val="num" w:pos="2160"/>
        </w:tabs>
        <w:ind w:left="2160" w:hanging="360"/>
      </w:pPr>
      <w:rPr>
        <w:rFonts w:ascii="Wingdings" w:hAnsi="Wingdings" w:hint="default"/>
      </w:rPr>
    </w:lvl>
    <w:lvl w:ilvl="3" w:tplc="4DD0974C" w:tentative="1">
      <w:start w:val="1"/>
      <w:numFmt w:val="bullet"/>
      <w:lvlText w:val=""/>
      <w:lvlJc w:val="left"/>
      <w:pPr>
        <w:tabs>
          <w:tab w:val="num" w:pos="2880"/>
        </w:tabs>
        <w:ind w:left="2880" w:hanging="360"/>
      </w:pPr>
      <w:rPr>
        <w:rFonts w:ascii="Wingdings" w:hAnsi="Wingdings" w:hint="default"/>
      </w:rPr>
    </w:lvl>
    <w:lvl w:ilvl="4" w:tplc="AAAC2DC4" w:tentative="1">
      <w:start w:val="1"/>
      <w:numFmt w:val="bullet"/>
      <w:lvlText w:val=""/>
      <w:lvlJc w:val="left"/>
      <w:pPr>
        <w:tabs>
          <w:tab w:val="num" w:pos="3600"/>
        </w:tabs>
        <w:ind w:left="3600" w:hanging="360"/>
      </w:pPr>
      <w:rPr>
        <w:rFonts w:ascii="Wingdings" w:hAnsi="Wingdings" w:hint="default"/>
      </w:rPr>
    </w:lvl>
    <w:lvl w:ilvl="5" w:tplc="2AB01A68" w:tentative="1">
      <w:start w:val="1"/>
      <w:numFmt w:val="bullet"/>
      <w:lvlText w:val=""/>
      <w:lvlJc w:val="left"/>
      <w:pPr>
        <w:tabs>
          <w:tab w:val="num" w:pos="4320"/>
        </w:tabs>
        <w:ind w:left="4320" w:hanging="360"/>
      </w:pPr>
      <w:rPr>
        <w:rFonts w:ascii="Wingdings" w:hAnsi="Wingdings" w:hint="default"/>
      </w:rPr>
    </w:lvl>
    <w:lvl w:ilvl="6" w:tplc="797E551C" w:tentative="1">
      <w:start w:val="1"/>
      <w:numFmt w:val="bullet"/>
      <w:lvlText w:val=""/>
      <w:lvlJc w:val="left"/>
      <w:pPr>
        <w:tabs>
          <w:tab w:val="num" w:pos="5040"/>
        </w:tabs>
        <w:ind w:left="5040" w:hanging="360"/>
      </w:pPr>
      <w:rPr>
        <w:rFonts w:ascii="Wingdings" w:hAnsi="Wingdings" w:hint="default"/>
      </w:rPr>
    </w:lvl>
    <w:lvl w:ilvl="7" w:tplc="AA96EEF2" w:tentative="1">
      <w:start w:val="1"/>
      <w:numFmt w:val="bullet"/>
      <w:lvlText w:val=""/>
      <w:lvlJc w:val="left"/>
      <w:pPr>
        <w:tabs>
          <w:tab w:val="num" w:pos="5760"/>
        </w:tabs>
        <w:ind w:left="5760" w:hanging="360"/>
      </w:pPr>
      <w:rPr>
        <w:rFonts w:ascii="Wingdings" w:hAnsi="Wingdings" w:hint="default"/>
      </w:rPr>
    </w:lvl>
    <w:lvl w:ilvl="8" w:tplc="4B86A774" w:tentative="1">
      <w:start w:val="1"/>
      <w:numFmt w:val="bullet"/>
      <w:lvlText w:val=""/>
      <w:lvlJc w:val="left"/>
      <w:pPr>
        <w:tabs>
          <w:tab w:val="num" w:pos="6480"/>
        </w:tabs>
        <w:ind w:left="6480" w:hanging="360"/>
      </w:pPr>
      <w:rPr>
        <w:rFonts w:ascii="Wingdings" w:hAnsi="Wingdings" w:hint="default"/>
      </w:rPr>
    </w:lvl>
  </w:abstractNum>
  <w:abstractNum w:abstractNumId="24">
    <w:nsid w:val="7FE26009"/>
    <w:multiLevelType w:val="hybridMultilevel"/>
    <w:tmpl w:val="EE1C3A9E"/>
    <w:lvl w:ilvl="0" w:tplc="0409000F">
      <w:start w:val="1"/>
      <w:numFmt w:val="decimal"/>
      <w:lvlText w:val="%1."/>
      <w:lvlJc w:val="left"/>
      <w:pPr>
        <w:tabs>
          <w:tab w:val="num" w:pos="720"/>
        </w:tabs>
        <w:ind w:left="720" w:hanging="360"/>
      </w:pPr>
      <w:rPr>
        <w:rFonts w:hint="default"/>
      </w:rPr>
    </w:lvl>
    <w:lvl w:ilvl="1" w:tplc="040EE3FC" w:tentative="1">
      <w:start w:val="1"/>
      <w:numFmt w:val="bullet"/>
      <w:lvlText w:val=""/>
      <w:lvlJc w:val="left"/>
      <w:pPr>
        <w:tabs>
          <w:tab w:val="num" w:pos="1440"/>
        </w:tabs>
        <w:ind w:left="1440" w:hanging="360"/>
      </w:pPr>
      <w:rPr>
        <w:rFonts w:ascii="Wingdings" w:hAnsi="Wingdings" w:hint="default"/>
      </w:rPr>
    </w:lvl>
    <w:lvl w:ilvl="2" w:tplc="E6586370" w:tentative="1">
      <w:start w:val="1"/>
      <w:numFmt w:val="bullet"/>
      <w:lvlText w:val=""/>
      <w:lvlJc w:val="left"/>
      <w:pPr>
        <w:tabs>
          <w:tab w:val="num" w:pos="2160"/>
        </w:tabs>
        <w:ind w:left="2160" w:hanging="360"/>
      </w:pPr>
      <w:rPr>
        <w:rFonts w:ascii="Wingdings" w:hAnsi="Wingdings" w:hint="default"/>
      </w:rPr>
    </w:lvl>
    <w:lvl w:ilvl="3" w:tplc="2A36E5AE" w:tentative="1">
      <w:start w:val="1"/>
      <w:numFmt w:val="bullet"/>
      <w:lvlText w:val=""/>
      <w:lvlJc w:val="left"/>
      <w:pPr>
        <w:tabs>
          <w:tab w:val="num" w:pos="2880"/>
        </w:tabs>
        <w:ind w:left="2880" w:hanging="360"/>
      </w:pPr>
      <w:rPr>
        <w:rFonts w:ascii="Wingdings" w:hAnsi="Wingdings" w:hint="default"/>
      </w:rPr>
    </w:lvl>
    <w:lvl w:ilvl="4" w:tplc="ED6AB98C" w:tentative="1">
      <w:start w:val="1"/>
      <w:numFmt w:val="bullet"/>
      <w:lvlText w:val=""/>
      <w:lvlJc w:val="left"/>
      <w:pPr>
        <w:tabs>
          <w:tab w:val="num" w:pos="3600"/>
        </w:tabs>
        <w:ind w:left="3600" w:hanging="360"/>
      </w:pPr>
      <w:rPr>
        <w:rFonts w:ascii="Wingdings" w:hAnsi="Wingdings" w:hint="default"/>
      </w:rPr>
    </w:lvl>
    <w:lvl w:ilvl="5" w:tplc="D66ED112" w:tentative="1">
      <w:start w:val="1"/>
      <w:numFmt w:val="bullet"/>
      <w:lvlText w:val=""/>
      <w:lvlJc w:val="left"/>
      <w:pPr>
        <w:tabs>
          <w:tab w:val="num" w:pos="4320"/>
        </w:tabs>
        <w:ind w:left="4320" w:hanging="360"/>
      </w:pPr>
      <w:rPr>
        <w:rFonts w:ascii="Wingdings" w:hAnsi="Wingdings" w:hint="default"/>
      </w:rPr>
    </w:lvl>
    <w:lvl w:ilvl="6" w:tplc="22824A9A" w:tentative="1">
      <w:start w:val="1"/>
      <w:numFmt w:val="bullet"/>
      <w:lvlText w:val=""/>
      <w:lvlJc w:val="left"/>
      <w:pPr>
        <w:tabs>
          <w:tab w:val="num" w:pos="5040"/>
        </w:tabs>
        <w:ind w:left="5040" w:hanging="360"/>
      </w:pPr>
      <w:rPr>
        <w:rFonts w:ascii="Wingdings" w:hAnsi="Wingdings" w:hint="default"/>
      </w:rPr>
    </w:lvl>
    <w:lvl w:ilvl="7" w:tplc="6EE82212" w:tentative="1">
      <w:start w:val="1"/>
      <w:numFmt w:val="bullet"/>
      <w:lvlText w:val=""/>
      <w:lvlJc w:val="left"/>
      <w:pPr>
        <w:tabs>
          <w:tab w:val="num" w:pos="5760"/>
        </w:tabs>
        <w:ind w:left="5760" w:hanging="360"/>
      </w:pPr>
      <w:rPr>
        <w:rFonts w:ascii="Wingdings" w:hAnsi="Wingdings" w:hint="default"/>
      </w:rPr>
    </w:lvl>
    <w:lvl w:ilvl="8" w:tplc="89C49842"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6"/>
  </w:num>
  <w:num w:numId="3">
    <w:abstractNumId w:val="13"/>
  </w:num>
  <w:num w:numId="4">
    <w:abstractNumId w:val="14"/>
  </w:num>
  <w:num w:numId="5">
    <w:abstractNumId w:val="22"/>
  </w:num>
  <w:num w:numId="6">
    <w:abstractNumId w:val="6"/>
  </w:num>
  <w:num w:numId="7">
    <w:abstractNumId w:val="21"/>
  </w:num>
  <w:num w:numId="8">
    <w:abstractNumId w:val="10"/>
  </w:num>
  <w:num w:numId="9">
    <w:abstractNumId w:val="12"/>
  </w:num>
  <w:num w:numId="10">
    <w:abstractNumId w:val="17"/>
  </w:num>
  <w:num w:numId="11">
    <w:abstractNumId w:val="1"/>
  </w:num>
  <w:num w:numId="12">
    <w:abstractNumId w:val="15"/>
  </w:num>
  <w:num w:numId="13">
    <w:abstractNumId w:val="5"/>
  </w:num>
  <w:num w:numId="14">
    <w:abstractNumId w:val="3"/>
  </w:num>
  <w:num w:numId="15">
    <w:abstractNumId w:val="24"/>
  </w:num>
  <w:num w:numId="16">
    <w:abstractNumId w:val="9"/>
  </w:num>
  <w:num w:numId="17">
    <w:abstractNumId w:val="2"/>
  </w:num>
  <w:num w:numId="18">
    <w:abstractNumId w:val="8"/>
  </w:num>
  <w:num w:numId="19">
    <w:abstractNumId w:val="0"/>
  </w:num>
  <w:num w:numId="20">
    <w:abstractNumId w:val="7"/>
  </w:num>
  <w:num w:numId="21">
    <w:abstractNumId w:val="4"/>
  </w:num>
  <w:num w:numId="22">
    <w:abstractNumId w:val="19"/>
  </w:num>
  <w:num w:numId="23">
    <w:abstractNumId w:val="11"/>
  </w:num>
  <w:num w:numId="24">
    <w:abstractNumId w:val="18"/>
  </w:num>
  <w:num w:numId="25">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2B"/>
    <w:rsid w:val="00002F3D"/>
    <w:rsid w:val="00003183"/>
    <w:rsid w:val="000036FA"/>
    <w:rsid w:val="00012656"/>
    <w:rsid w:val="00016E89"/>
    <w:rsid w:val="00022AFC"/>
    <w:rsid w:val="00025C94"/>
    <w:rsid w:val="00033BEF"/>
    <w:rsid w:val="00047D1E"/>
    <w:rsid w:val="00056055"/>
    <w:rsid w:val="000717C3"/>
    <w:rsid w:val="000742CB"/>
    <w:rsid w:val="0009577F"/>
    <w:rsid w:val="000A35F9"/>
    <w:rsid w:val="000B6CEA"/>
    <w:rsid w:val="000C1660"/>
    <w:rsid w:val="000C1B88"/>
    <w:rsid w:val="000C48B8"/>
    <w:rsid w:val="000C4BDB"/>
    <w:rsid w:val="000D1146"/>
    <w:rsid w:val="000D5D18"/>
    <w:rsid w:val="000F6CFB"/>
    <w:rsid w:val="000F7985"/>
    <w:rsid w:val="00100778"/>
    <w:rsid w:val="00103294"/>
    <w:rsid w:val="001054E1"/>
    <w:rsid w:val="001142F1"/>
    <w:rsid w:val="00115652"/>
    <w:rsid w:val="00117AF3"/>
    <w:rsid w:val="00125C29"/>
    <w:rsid w:val="00136A28"/>
    <w:rsid w:val="00136F30"/>
    <w:rsid w:val="00144B87"/>
    <w:rsid w:val="001525BB"/>
    <w:rsid w:val="00155EE5"/>
    <w:rsid w:val="0016568E"/>
    <w:rsid w:val="00171D1A"/>
    <w:rsid w:val="00172733"/>
    <w:rsid w:val="00173552"/>
    <w:rsid w:val="00174158"/>
    <w:rsid w:val="001750B0"/>
    <w:rsid w:val="00182210"/>
    <w:rsid w:val="00196D72"/>
    <w:rsid w:val="001A6721"/>
    <w:rsid w:val="001A68CA"/>
    <w:rsid w:val="001A7324"/>
    <w:rsid w:val="001C62C3"/>
    <w:rsid w:val="001D1A29"/>
    <w:rsid w:val="001F3BD1"/>
    <w:rsid w:val="001F77DF"/>
    <w:rsid w:val="00200463"/>
    <w:rsid w:val="00200B0B"/>
    <w:rsid w:val="00203E14"/>
    <w:rsid w:val="0020557D"/>
    <w:rsid w:val="00205C7D"/>
    <w:rsid w:val="002066E5"/>
    <w:rsid w:val="00207300"/>
    <w:rsid w:val="0022039B"/>
    <w:rsid w:val="0022233A"/>
    <w:rsid w:val="00227B6C"/>
    <w:rsid w:val="002306D6"/>
    <w:rsid w:val="0023273E"/>
    <w:rsid w:val="0024046F"/>
    <w:rsid w:val="0024261A"/>
    <w:rsid w:val="00265E9B"/>
    <w:rsid w:val="00271803"/>
    <w:rsid w:val="00287701"/>
    <w:rsid w:val="00287B43"/>
    <w:rsid w:val="002936FD"/>
    <w:rsid w:val="002944A0"/>
    <w:rsid w:val="002B446C"/>
    <w:rsid w:val="002B7651"/>
    <w:rsid w:val="002D2C56"/>
    <w:rsid w:val="002D4F7C"/>
    <w:rsid w:val="002D6D33"/>
    <w:rsid w:val="002F03F2"/>
    <w:rsid w:val="002F4CB8"/>
    <w:rsid w:val="002F58AA"/>
    <w:rsid w:val="003009C0"/>
    <w:rsid w:val="003078AD"/>
    <w:rsid w:val="00310FF0"/>
    <w:rsid w:val="003158E5"/>
    <w:rsid w:val="00315FEC"/>
    <w:rsid w:val="003161E9"/>
    <w:rsid w:val="00323062"/>
    <w:rsid w:val="00346F02"/>
    <w:rsid w:val="00353DA0"/>
    <w:rsid w:val="00355D22"/>
    <w:rsid w:val="00360AEF"/>
    <w:rsid w:val="00365934"/>
    <w:rsid w:val="00371F5F"/>
    <w:rsid w:val="00372519"/>
    <w:rsid w:val="003750A4"/>
    <w:rsid w:val="00375BA2"/>
    <w:rsid w:val="003769D0"/>
    <w:rsid w:val="00383201"/>
    <w:rsid w:val="00384E08"/>
    <w:rsid w:val="003867CA"/>
    <w:rsid w:val="00392668"/>
    <w:rsid w:val="003A3595"/>
    <w:rsid w:val="003A4047"/>
    <w:rsid w:val="003A4D82"/>
    <w:rsid w:val="003B1FAC"/>
    <w:rsid w:val="003B314C"/>
    <w:rsid w:val="003B32CD"/>
    <w:rsid w:val="003B3D59"/>
    <w:rsid w:val="003B6221"/>
    <w:rsid w:val="003C255D"/>
    <w:rsid w:val="003C27EA"/>
    <w:rsid w:val="003D018A"/>
    <w:rsid w:val="003D051F"/>
    <w:rsid w:val="003D27DD"/>
    <w:rsid w:val="003D29C5"/>
    <w:rsid w:val="003D4F4F"/>
    <w:rsid w:val="003D7BEC"/>
    <w:rsid w:val="003E5960"/>
    <w:rsid w:val="003E6B6A"/>
    <w:rsid w:val="003E7A96"/>
    <w:rsid w:val="003E7F94"/>
    <w:rsid w:val="003F7CDF"/>
    <w:rsid w:val="00400EFF"/>
    <w:rsid w:val="00401217"/>
    <w:rsid w:val="00410E93"/>
    <w:rsid w:val="00411673"/>
    <w:rsid w:val="0042183E"/>
    <w:rsid w:val="004225B9"/>
    <w:rsid w:val="00423209"/>
    <w:rsid w:val="004240C3"/>
    <w:rsid w:val="0042696C"/>
    <w:rsid w:val="00436D7D"/>
    <w:rsid w:val="00447FD7"/>
    <w:rsid w:val="00453811"/>
    <w:rsid w:val="00454185"/>
    <w:rsid w:val="00455DF8"/>
    <w:rsid w:val="004574EC"/>
    <w:rsid w:val="00462868"/>
    <w:rsid w:val="00467F98"/>
    <w:rsid w:val="00475791"/>
    <w:rsid w:val="004762EA"/>
    <w:rsid w:val="004845A0"/>
    <w:rsid w:val="004847BF"/>
    <w:rsid w:val="00484B57"/>
    <w:rsid w:val="00485449"/>
    <w:rsid w:val="00497F05"/>
    <w:rsid w:val="004A670B"/>
    <w:rsid w:val="004B0180"/>
    <w:rsid w:val="004B10BB"/>
    <w:rsid w:val="004B1961"/>
    <w:rsid w:val="004B5577"/>
    <w:rsid w:val="004B5C31"/>
    <w:rsid w:val="004B6101"/>
    <w:rsid w:val="004C2E09"/>
    <w:rsid w:val="004C3703"/>
    <w:rsid w:val="004C47A7"/>
    <w:rsid w:val="004C5EA2"/>
    <w:rsid w:val="004C70A0"/>
    <w:rsid w:val="004D6712"/>
    <w:rsid w:val="004E1516"/>
    <w:rsid w:val="004E3DF8"/>
    <w:rsid w:val="004F1FCF"/>
    <w:rsid w:val="004F5181"/>
    <w:rsid w:val="00502CB7"/>
    <w:rsid w:val="005138A7"/>
    <w:rsid w:val="00513CCC"/>
    <w:rsid w:val="0052533F"/>
    <w:rsid w:val="00542EE7"/>
    <w:rsid w:val="005557D6"/>
    <w:rsid w:val="00556803"/>
    <w:rsid w:val="00556929"/>
    <w:rsid w:val="00573469"/>
    <w:rsid w:val="0057498F"/>
    <w:rsid w:val="00585779"/>
    <w:rsid w:val="005B0DD0"/>
    <w:rsid w:val="005B47B1"/>
    <w:rsid w:val="005D5281"/>
    <w:rsid w:val="005D6DBC"/>
    <w:rsid w:val="005E35AE"/>
    <w:rsid w:val="005E3FB4"/>
    <w:rsid w:val="005E5002"/>
    <w:rsid w:val="005F2299"/>
    <w:rsid w:val="0062130A"/>
    <w:rsid w:val="00627069"/>
    <w:rsid w:val="0063431D"/>
    <w:rsid w:val="00634F8A"/>
    <w:rsid w:val="00640687"/>
    <w:rsid w:val="00644E4F"/>
    <w:rsid w:val="006455A9"/>
    <w:rsid w:val="00652EFE"/>
    <w:rsid w:val="006555E6"/>
    <w:rsid w:val="00662624"/>
    <w:rsid w:val="00665229"/>
    <w:rsid w:val="0066783E"/>
    <w:rsid w:val="006771BC"/>
    <w:rsid w:val="00683383"/>
    <w:rsid w:val="006849EA"/>
    <w:rsid w:val="006910B2"/>
    <w:rsid w:val="0069119D"/>
    <w:rsid w:val="00692B8F"/>
    <w:rsid w:val="00695637"/>
    <w:rsid w:val="00697A6D"/>
    <w:rsid w:val="006A00D9"/>
    <w:rsid w:val="006A3239"/>
    <w:rsid w:val="006A7FC2"/>
    <w:rsid w:val="006B169E"/>
    <w:rsid w:val="006B780D"/>
    <w:rsid w:val="006C316B"/>
    <w:rsid w:val="006C3314"/>
    <w:rsid w:val="006C6646"/>
    <w:rsid w:val="006C67F0"/>
    <w:rsid w:val="006C6DCD"/>
    <w:rsid w:val="006D091F"/>
    <w:rsid w:val="006D4464"/>
    <w:rsid w:val="006D5FA6"/>
    <w:rsid w:val="006D7CC4"/>
    <w:rsid w:val="006E1471"/>
    <w:rsid w:val="006E1BE4"/>
    <w:rsid w:val="006E315D"/>
    <w:rsid w:val="006E5F18"/>
    <w:rsid w:val="006F1870"/>
    <w:rsid w:val="006F760D"/>
    <w:rsid w:val="006F7BF8"/>
    <w:rsid w:val="00705522"/>
    <w:rsid w:val="007163C6"/>
    <w:rsid w:val="00721EB8"/>
    <w:rsid w:val="007263E2"/>
    <w:rsid w:val="0073410E"/>
    <w:rsid w:val="00735B10"/>
    <w:rsid w:val="007441D6"/>
    <w:rsid w:val="00755D60"/>
    <w:rsid w:val="00757E4E"/>
    <w:rsid w:val="0076339F"/>
    <w:rsid w:val="007664E4"/>
    <w:rsid w:val="00767538"/>
    <w:rsid w:val="00770106"/>
    <w:rsid w:val="00780127"/>
    <w:rsid w:val="00782675"/>
    <w:rsid w:val="00786807"/>
    <w:rsid w:val="00787898"/>
    <w:rsid w:val="00795E7F"/>
    <w:rsid w:val="00797F81"/>
    <w:rsid w:val="007A4B7B"/>
    <w:rsid w:val="007A6102"/>
    <w:rsid w:val="007C3B79"/>
    <w:rsid w:val="007D34F8"/>
    <w:rsid w:val="007D394A"/>
    <w:rsid w:val="007D6307"/>
    <w:rsid w:val="007E130E"/>
    <w:rsid w:val="007E1529"/>
    <w:rsid w:val="007E1D90"/>
    <w:rsid w:val="007E3DFA"/>
    <w:rsid w:val="007F0C73"/>
    <w:rsid w:val="007F101E"/>
    <w:rsid w:val="007F22C9"/>
    <w:rsid w:val="007F3F1A"/>
    <w:rsid w:val="007F7ABF"/>
    <w:rsid w:val="008022A0"/>
    <w:rsid w:val="00815978"/>
    <w:rsid w:val="00822667"/>
    <w:rsid w:val="00823BF7"/>
    <w:rsid w:val="00832087"/>
    <w:rsid w:val="008329FE"/>
    <w:rsid w:val="00841760"/>
    <w:rsid w:val="00853510"/>
    <w:rsid w:val="008559BC"/>
    <w:rsid w:val="00856C9F"/>
    <w:rsid w:val="00857C2C"/>
    <w:rsid w:val="0087125E"/>
    <w:rsid w:val="00871F9B"/>
    <w:rsid w:val="00881049"/>
    <w:rsid w:val="00883D35"/>
    <w:rsid w:val="00892C48"/>
    <w:rsid w:val="00893AC4"/>
    <w:rsid w:val="008A13C8"/>
    <w:rsid w:val="008A4D9C"/>
    <w:rsid w:val="008B6CF3"/>
    <w:rsid w:val="008C2195"/>
    <w:rsid w:val="008C67E2"/>
    <w:rsid w:val="008C7FF4"/>
    <w:rsid w:val="008D27F4"/>
    <w:rsid w:val="008D30B3"/>
    <w:rsid w:val="008D79E2"/>
    <w:rsid w:val="008E3E84"/>
    <w:rsid w:val="008E6AF8"/>
    <w:rsid w:val="008F5BC5"/>
    <w:rsid w:val="00901E68"/>
    <w:rsid w:val="009045F8"/>
    <w:rsid w:val="009075AA"/>
    <w:rsid w:val="009100A2"/>
    <w:rsid w:val="00912AF0"/>
    <w:rsid w:val="00913EAE"/>
    <w:rsid w:val="00933F4F"/>
    <w:rsid w:val="00953A63"/>
    <w:rsid w:val="00956BDA"/>
    <w:rsid w:val="00961EAC"/>
    <w:rsid w:val="009626B1"/>
    <w:rsid w:val="009645B3"/>
    <w:rsid w:val="00966A77"/>
    <w:rsid w:val="00985596"/>
    <w:rsid w:val="00987DD2"/>
    <w:rsid w:val="009928E0"/>
    <w:rsid w:val="00997E44"/>
    <w:rsid w:val="00997ED0"/>
    <w:rsid w:val="009A1262"/>
    <w:rsid w:val="009A1CCC"/>
    <w:rsid w:val="009A2054"/>
    <w:rsid w:val="009A70FF"/>
    <w:rsid w:val="009B3633"/>
    <w:rsid w:val="009B7A01"/>
    <w:rsid w:val="009D7D6B"/>
    <w:rsid w:val="009E6C92"/>
    <w:rsid w:val="009F502C"/>
    <w:rsid w:val="009F6769"/>
    <w:rsid w:val="00A01FCA"/>
    <w:rsid w:val="00A05519"/>
    <w:rsid w:val="00A06752"/>
    <w:rsid w:val="00A12848"/>
    <w:rsid w:val="00A2236A"/>
    <w:rsid w:val="00A25CD6"/>
    <w:rsid w:val="00A26470"/>
    <w:rsid w:val="00A32FF4"/>
    <w:rsid w:val="00A33A2B"/>
    <w:rsid w:val="00A40330"/>
    <w:rsid w:val="00A42301"/>
    <w:rsid w:val="00A42359"/>
    <w:rsid w:val="00A558D6"/>
    <w:rsid w:val="00A7044E"/>
    <w:rsid w:val="00A70FC0"/>
    <w:rsid w:val="00A72417"/>
    <w:rsid w:val="00A74BCA"/>
    <w:rsid w:val="00A76A14"/>
    <w:rsid w:val="00A90EDA"/>
    <w:rsid w:val="00A95F9F"/>
    <w:rsid w:val="00A97365"/>
    <w:rsid w:val="00A97C92"/>
    <w:rsid w:val="00AA5213"/>
    <w:rsid w:val="00AC2BD2"/>
    <w:rsid w:val="00AC4C92"/>
    <w:rsid w:val="00AC4D79"/>
    <w:rsid w:val="00AD0924"/>
    <w:rsid w:val="00AE2F2E"/>
    <w:rsid w:val="00AF15CC"/>
    <w:rsid w:val="00AF279D"/>
    <w:rsid w:val="00AF7966"/>
    <w:rsid w:val="00B0053D"/>
    <w:rsid w:val="00B0079B"/>
    <w:rsid w:val="00B016D3"/>
    <w:rsid w:val="00B217BB"/>
    <w:rsid w:val="00B250F2"/>
    <w:rsid w:val="00B408DD"/>
    <w:rsid w:val="00B4169F"/>
    <w:rsid w:val="00B45A85"/>
    <w:rsid w:val="00B5318B"/>
    <w:rsid w:val="00B60B2C"/>
    <w:rsid w:val="00B710D6"/>
    <w:rsid w:val="00B71A26"/>
    <w:rsid w:val="00B7285A"/>
    <w:rsid w:val="00B73879"/>
    <w:rsid w:val="00B81970"/>
    <w:rsid w:val="00B95D7B"/>
    <w:rsid w:val="00BA05E0"/>
    <w:rsid w:val="00BA4124"/>
    <w:rsid w:val="00BA4BC6"/>
    <w:rsid w:val="00BA50C7"/>
    <w:rsid w:val="00BB227C"/>
    <w:rsid w:val="00BC567E"/>
    <w:rsid w:val="00BC6441"/>
    <w:rsid w:val="00BC6F8F"/>
    <w:rsid w:val="00BD7CB7"/>
    <w:rsid w:val="00BE392D"/>
    <w:rsid w:val="00BE535F"/>
    <w:rsid w:val="00BF3BA6"/>
    <w:rsid w:val="00C00474"/>
    <w:rsid w:val="00C02402"/>
    <w:rsid w:val="00C02891"/>
    <w:rsid w:val="00C028AB"/>
    <w:rsid w:val="00C038AE"/>
    <w:rsid w:val="00C05679"/>
    <w:rsid w:val="00C278CB"/>
    <w:rsid w:val="00C30073"/>
    <w:rsid w:val="00C32B76"/>
    <w:rsid w:val="00C36DB1"/>
    <w:rsid w:val="00C3795B"/>
    <w:rsid w:val="00C4131F"/>
    <w:rsid w:val="00C414ED"/>
    <w:rsid w:val="00C43069"/>
    <w:rsid w:val="00C557C4"/>
    <w:rsid w:val="00C5655C"/>
    <w:rsid w:val="00C63559"/>
    <w:rsid w:val="00C72B18"/>
    <w:rsid w:val="00C75EA8"/>
    <w:rsid w:val="00C81D03"/>
    <w:rsid w:val="00C81E62"/>
    <w:rsid w:val="00C8407D"/>
    <w:rsid w:val="00C8507E"/>
    <w:rsid w:val="00CA17CF"/>
    <w:rsid w:val="00CA3D91"/>
    <w:rsid w:val="00CD4CB1"/>
    <w:rsid w:val="00CD7BDE"/>
    <w:rsid w:val="00CD7F4A"/>
    <w:rsid w:val="00CE06BB"/>
    <w:rsid w:val="00CE2EE3"/>
    <w:rsid w:val="00CE40BC"/>
    <w:rsid w:val="00CE617C"/>
    <w:rsid w:val="00CE63F2"/>
    <w:rsid w:val="00CF0E7D"/>
    <w:rsid w:val="00D01257"/>
    <w:rsid w:val="00D03831"/>
    <w:rsid w:val="00D042AE"/>
    <w:rsid w:val="00D1151A"/>
    <w:rsid w:val="00D116F6"/>
    <w:rsid w:val="00D14973"/>
    <w:rsid w:val="00D16525"/>
    <w:rsid w:val="00D168D4"/>
    <w:rsid w:val="00D26DF5"/>
    <w:rsid w:val="00D272A2"/>
    <w:rsid w:val="00D33FCF"/>
    <w:rsid w:val="00D43D10"/>
    <w:rsid w:val="00D43DF7"/>
    <w:rsid w:val="00D447AF"/>
    <w:rsid w:val="00D465E5"/>
    <w:rsid w:val="00D472D9"/>
    <w:rsid w:val="00D52817"/>
    <w:rsid w:val="00D57537"/>
    <w:rsid w:val="00D74262"/>
    <w:rsid w:val="00D80773"/>
    <w:rsid w:val="00D81A8C"/>
    <w:rsid w:val="00D94D01"/>
    <w:rsid w:val="00D97781"/>
    <w:rsid w:val="00DA20B4"/>
    <w:rsid w:val="00DB6CB5"/>
    <w:rsid w:val="00DB7C6E"/>
    <w:rsid w:val="00DC031C"/>
    <w:rsid w:val="00DD4F93"/>
    <w:rsid w:val="00DE5990"/>
    <w:rsid w:val="00DE6669"/>
    <w:rsid w:val="00DE6AD6"/>
    <w:rsid w:val="00DF1AC5"/>
    <w:rsid w:val="00DF320A"/>
    <w:rsid w:val="00DF3BD4"/>
    <w:rsid w:val="00DF5550"/>
    <w:rsid w:val="00DF5F20"/>
    <w:rsid w:val="00E10A38"/>
    <w:rsid w:val="00E1343D"/>
    <w:rsid w:val="00E14235"/>
    <w:rsid w:val="00E16FAC"/>
    <w:rsid w:val="00E179BB"/>
    <w:rsid w:val="00E24705"/>
    <w:rsid w:val="00E40290"/>
    <w:rsid w:val="00E46FF0"/>
    <w:rsid w:val="00E522E4"/>
    <w:rsid w:val="00E5597A"/>
    <w:rsid w:val="00E5604C"/>
    <w:rsid w:val="00E5630F"/>
    <w:rsid w:val="00E634A5"/>
    <w:rsid w:val="00E6508B"/>
    <w:rsid w:val="00E7017F"/>
    <w:rsid w:val="00E71975"/>
    <w:rsid w:val="00E71B05"/>
    <w:rsid w:val="00E73904"/>
    <w:rsid w:val="00E73C31"/>
    <w:rsid w:val="00E76CE1"/>
    <w:rsid w:val="00E77D37"/>
    <w:rsid w:val="00E865A3"/>
    <w:rsid w:val="00E90B33"/>
    <w:rsid w:val="00E920E9"/>
    <w:rsid w:val="00E93D7D"/>
    <w:rsid w:val="00E960AA"/>
    <w:rsid w:val="00E9777E"/>
    <w:rsid w:val="00EA0208"/>
    <w:rsid w:val="00EA5BCD"/>
    <w:rsid w:val="00EB0549"/>
    <w:rsid w:val="00EB395D"/>
    <w:rsid w:val="00ED073B"/>
    <w:rsid w:val="00ED1195"/>
    <w:rsid w:val="00ED6E70"/>
    <w:rsid w:val="00EE13E3"/>
    <w:rsid w:val="00EE5C44"/>
    <w:rsid w:val="00EE668C"/>
    <w:rsid w:val="00F00E70"/>
    <w:rsid w:val="00F016E8"/>
    <w:rsid w:val="00F03945"/>
    <w:rsid w:val="00F04B07"/>
    <w:rsid w:val="00F04CA0"/>
    <w:rsid w:val="00F05B1D"/>
    <w:rsid w:val="00F20C18"/>
    <w:rsid w:val="00F22810"/>
    <w:rsid w:val="00F31A9D"/>
    <w:rsid w:val="00F4229A"/>
    <w:rsid w:val="00F43D4C"/>
    <w:rsid w:val="00F52C63"/>
    <w:rsid w:val="00F5645D"/>
    <w:rsid w:val="00F65654"/>
    <w:rsid w:val="00F666E3"/>
    <w:rsid w:val="00F67077"/>
    <w:rsid w:val="00F70487"/>
    <w:rsid w:val="00F72664"/>
    <w:rsid w:val="00F7351D"/>
    <w:rsid w:val="00F7574D"/>
    <w:rsid w:val="00F8502B"/>
    <w:rsid w:val="00F902E1"/>
    <w:rsid w:val="00F905DF"/>
    <w:rsid w:val="00F9099B"/>
    <w:rsid w:val="00FB1FF8"/>
    <w:rsid w:val="00FB4867"/>
    <w:rsid w:val="00FC013B"/>
    <w:rsid w:val="00FC19EB"/>
    <w:rsid w:val="00FC7C22"/>
    <w:rsid w:val="00FD1179"/>
    <w:rsid w:val="00FE0C94"/>
    <w:rsid w:val="00FF27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53C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C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1E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E68"/>
    <w:rPr>
      <w:rFonts w:ascii="Tahoma" w:hAnsi="Tahoma" w:cs="Tahoma"/>
      <w:sz w:val="16"/>
      <w:szCs w:val="16"/>
    </w:rPr>
  </w:style>
  <w:style w:type="paragraph" w:styleId="ListParagraph">
    <w:name w:val="List Paragraph"/>
    <w:basedOn w:val="Normal"/>
    <w:uiPriority w:val="34"/>
    <w:qFormat/>
    <w:rsid w:val="00D52817"/>
    <w:pPr>
      <w:ind w:left="720"/>
      <w:contextualSpacing/>
    </w:pPr>
  </w:style>
  <w:style w:type="paragraph" w:customStyle="1" w:styleId="Picture">
    <w:name w:val="Picture"/>
    <w:basedOn w:val="Normal"/>
    <w:next w:val="Normal"/>
    <w:qFormat/>
    <w:rsid w:val="00D01257"/>
    <w:pPr>
      <w:spacing w:after="240" w:line="240" w:lineRule="auto"/>
      <w:contextualSpacing/>
      <w:jc w:val="center"/>
    </w:pPr>
    <w:rPr>
      <w:rFonts w:ascii="Perpetua" w:eastAsia="Calibri" w:hAnsi="Perpetua" w:cs="Times New Roman"/>
      <w:sz w:val="24"/>
    </w:rPr>
  </w:style>
  <w:style w:type="paragraph" w:styleId="NormalWeb">
    <w:name w:val="Normal (Web)"/>
    <w:basedOn w:val="Normal"/>
    <w:uiPriority w:val="99"/>
    <w:unhideWhenUsed/>
    <w:rsid w:val="00F6565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569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929"/>
  </w:style>
  <w:style w:type="paragraph" w:styleId="Footer">
    <w:name w:val="footer"/>
    <w:basedOn w:val="Normal"/>
    <w:link w:val="FooterChar"/>
    <w:uiPriority w:val="99"/>
    <w:unhideWhenUsed/>
    <w:rsid w:val="00556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929"/>
  </w:style>
  <w:style w:type="character" w:styleId="Hyperlink">
    <w:name w:val="Hyperlink"/>
    <w:basedOn w:val="DefaultParagraphFont"/>
    <w:uiPriority w:val="99"/>
    <w:unhideWhenUsed/>
    <w:rsid w:val="007E3DFA"/>
    <w:rPr>
      <w:color w:val="0563C1" w:themeColor="hyperlink"/>
      <w:u w:val="single"/>
    </w:rPr>
  </w:style>
  <w:style w:type="character" w:styleId="CommentReference">
    <w:name w:val="annotation reference"/>
    <w:basedOn w:val="DefaultParagraphFont"/>
    <w:uiPriority w:val="99"/>
    <w:semiHidden/>
    <w:unhideWhenUsed/>
    <w:rsid w:val="00A72417"/>
    <w:rPr>
      <w:sz w:val="16"/>
      <w:szCs w:val="16"/>
    </w:rPr>
  </w:style>
  <w:style w:type="paragraph" w:styleId="CommentText">
    <w:name w:val="annotation text"/>
    <w:basedOn w:val="Normal"/>
    <w:link w:val="CommentTextChar"/>
    <w:uiPriority w:val="99"/>
    <w:unhideWhenUsed/>
    <w:rsid w:val="00A72417"/>
    <w:pPr>
      <w:spacing w:line="240" w:lineRule="auto"/>
    </w:pPr>
    <w:rPr>
      <w:sz w:val="20"/>
      <w:szCs w:val="20"/>
    </w:rPr>
  </w:style>
  <w:style w:type="character" w:customStyle="1" w:styleId="CommentTextChar">
    <w:name w:val="Comment Text Char"/>
    <w:basedOn w:val="DefaultParagraphFont"/>
    <w:link w:val="CommentText"/>
    <w:uiPriority w:val="99"/>
    <w:rsid w:val="00A72417"/>
    <w:rPr>
      <w:sz w:val="20"/>
      <w:szCs w:val="20"/>
    </w:rPr>
  </w:style>
  <w:style w:type="paragraph" w:styleId="CommentSubject">
    <w:name w:val="annotation subject"/>
    <w:basedOn w:val="CommentText"/>
    <w:next w:val="CommentText"/>
    <w:link w:val="CommentSubjectChar"/>
    <w:uiPriority w:val="99"/>
    <w:semiHidden/>
    <w:unhideWhenUsed/>
    <w:rsid w:val="00A72417"/>
    <w:rPr>
      <w:b/>
      <w:bCs/>
    </w:rPr>
  </w:style>
  <w:style w:type="character" w:customStyle="1" w:styleId="CommentSubjectChar">
    <w:name w:val="Comment Subject Char"/>
    <w:basedOn w:val="CommentTextChar"/>
    <w:link w:val="CommentSubject"/>
    <w:uiPriority w:val="99"/>
    <w:semiHidden/>
    <w:rsid w:val="00A72417"/>
    <w:rPr>
      <w:b/>
      <w:bCs/>
      <w:sz w:val="20"/>
      <w:szCs w:val="20"/>
    </w:rPr>
  </w:style>
  <w:style w:type="paragraph" w:styleId="Revision">
    <w:name w:val="Revision"/>
    <w:hidden/>
    <w:uiPriority w:val="99"/>
    <w:semiHidden/>
    <w:rsid w:val="009A126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C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1E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E68"/>
    <w:rPr>
      <w:rFonts w:ascii="Tahoma" w:hAnsi="Tahoma" w:cs="Tahoma"/>
      <w:sz w:val="16"/>
      <w:szCs w:val="16"/>
    </w:rPr>
  </w:style>
  <w:style w:type="paragraph" w:styleId="ListParagraph">
    <w:name w:val="List Paragraph"/>
    <w:basedOn w:val="Normal"/>
    <w:uiPriority w:val="34"/>
    <w:qFormat/>
    <w:rsid w:val="00D52817"/>
    <w:pPr>
      <w:ind w:left="720"/>
      <w:contextualSpacing/>
    </w:pPr>
  </w:style>
  <w:style w:type="paragraph" w:customStyle="1" w:styleId="Picture">
    <w:name w:val="Picture"/>
    <w:basedOn w:val="Normal"/>
    <w:next w:val="Normal"/>
    <w:qFormat/>
    <w:rsid w:val="00D01257"/>
    <w:pPr>
      <w:spacing w:after="240" w:line="240" w:lineRule="auto"/>
      <w:contextualSpacing/>
      <w:jc w:val="center"/>
    </w:pPr>
    <w:rPr>
      <w:rFonts w:ascii="Perpetua" w:eastAsia="Calibri" w:hAnsi="Perpetua" w:cs="Times New Roman"/>
      <w:sz w:val="24"/>
    </w:rPr>
  </w:style>
  <w:style w:type="paragraph" w:styleId="NormalWeb">
    <w:name w:val="Normal (Web)"/>
    <w:basedOn w:val="Normal"/>
    <w:uiPriority w:val="99"/>
    <w:unhideWhenUsed/>
    <w:rsid w:val="00F6565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569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929"/>
  </w:style>
  <w:style w:type="paragraph" w:styleId="Footer">
    <w:name w:val="footer"/>
    <w:basedOn w:val="Normal"/>
    <w:link w:val="FooterChar"/>
    <w:uiPriority w:val="99"/>
    <w:unhideWhenUsed/>
    <w:rsid w:val="00556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929"/>
  </w:style>
  <w:style w:type="character" w:styleId="Hyperlink">
    <w:name w:val="Hyperlink"/>
    <w:basedOn w:val="DefaultParagraphFont"/>
    <w:uiPriority w:val="99"/>
    <w:unhideWhenUsed/>
    <w:rsid w:val="007E3DFA"/>
    <w:rPr>
      <w:color w:val="0563C1" w:themeColor="hyperlink"/>
      <w:u w:val="single"/>
    </w:rPr>
  </w:style>
  <w:style w:type="character" w:styleId="CommentReference">
    <w:name w:val="annotation reference"/>
    <w:basedOn w:val="DefaultParagraphFont"/>
    <w:uiPriority w:val="99"/>
    <w:semiHidden/>
    <w:unhideWhenUsed/>
    <w:rsid w:val="00A72417"/>
    <w:rPr>
      <w:sz w:val="16"/>
      <w:szCs w:val="16"/>
    </w:rPr>
  </w:style>
  <w:style w:type="paragraph" w:styleId="CommentText">
    <w:name w:val="annotation text"/>
    <w:basedOn w:val="Normal"/>
    <w:link w:val="CommentTextChar"/>
    <w:uiPriority w:val="99"/>
    <w:unhideWhenUsed/>
    <w:rsid w:val="00A72417"/>
    <w:pPr>
      <w:spacing w:line="240" w:lineRule="auto"/>
    </w:pPr>
    <w:rPr>
      <w:sz w:val="20"/>
      <w:szCs w:val="20"/>
    </w:rPr>
  </w:style>
  <w:style w:type="character" w:customStyle="1" w:styleId="CommentTextChar">
    <w:name w:val="Comment Text Char"/>
    <w:basedOn w:val="DefaultParagraphFont"/>
    <w:link w:val="CommentText"/>
    <w:uiPriority w:val="99"/>
    <w:rsid w:val="00A72417"/>
    <w:rPr>
      <w:sz w:val="20"/>
      <w:szCs w:val="20"/>
    </w:rPr>
  </w:style>
  <w:style w:type="paragraph" w:styleId="CommentSubject">
    <w:name w:val="annotation subject"/>
    <w:basedOn w:val="CommentText"/>
    <w:next w:val="CommentText"/>
    <w:link w:val="CommentSubjectChar"/>
    <w:uiPriority w:val="99"/>
    <w:semiHidden/>
    <w:unhideWhenUsed/>
    <w:rsid w:val="00A72417"/>
    <w:rPr>
      <w:b/>
      <w:bCs/>
    </w:rPr>
  </w:style>
  <w:style w:type="character" w:customStyle="1" w:styleId="CommentSubjectChar">
    <w:name w:val="Comment Subject Char"/>
    <w:basedOn w:val="CommentTextChar"/>
    <w:link w:val="CommentSubject"/>
    <w:uiPriority w:val="99"/>
    <w:semiHidden/>
    <w:rsid w:val="00A72417"/>
    <w:rPr>
      <w:b/>
      <w:bCs/>
      <w:sz w:val="20"/>
      <w:szCs w:val="20"/>
    </w:rPr>
  </w:style>
  <w:style w:type="paragraph" w:styleId="Revision">
    <w:name w:val="Revision"/>
    <w:hidden/>
    <w:uiPriority w:val="99"/>
    <w:semiHidden/>
    <w:rsid w:val="009A12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61662">
      <w:bodyDiv w:val="1"/>
      <w:marLeft w:val="0"/>
      <w:marRight w:val="0"/>
      <w:marTop w:val="0"/>
      <w:marBottom w:val="0"/>
      <w:divBdr>
        <w:top w:val="none" w:sz="0" w:space="0" w:color="auto"/>
        <w:left w:val="none" w:sz="0" w:space="0" w:color="auto"/>
        <w:bottom w:val="none" w:sz="0" w:space="0" w:color="auto"/>
        <w:right w:val="none" w:sz="0" w:space="0" w:color="auto"/>
      </w:divBdr>
      <w:divsChild>
        <w:div w:id="164446616">
          <w:marLeft w:val="547"/>
          <w:marRight w:val="0"/>
          <w:marTop w:val="96"/>
          <w:marBottom w:val="72"/>
          <w:divBdr>
            <w:top w:val="none" w:sz="0" w:space="0" w:color="auto"/>
            <w:left w:val="none" w:sz="0" w:space="0" w:color="auto"/>
            <w:bottom w:val="none" w:sz="0" w:space="0" w:color="auto"/>
            <w:right w:val="none" w:sz="0" w:space="0" w:color="auto"/>
          </w:divBdr>
        </w:div>
        <w:div w:id="2116513438">
          <w:marLeft w:val="547"/>
          <w:marRight w:val="0"/>
          <w:marTop w:val="96"/>
          <w:marBottom w:val="72"/>
          <w:divBdr>
            <w:top w:val="none" w:sz="0" w:space="0" w:color="auto"/>
            <w:left w:val="none" w:sz="0" w:space="0" w:color="auto"/>
            <w:bottom w:val="none" w:sz="0" w:space="0" w:color="auto"/>
            <w:right w:val="none" w:sz="0" w:space="0" w:color="auto"/>
          </w:divBdr>
        </w:div>
        <w:div w:id="1930966981">
          <w:marLeft w:val="547"/>
          <w:marRight w:val="0"/>
          <w:marTop w:val="96"/>
          <w:marBottom w:val="72"/>
          <w:divBdr>
            <w:top w:val="none" w:sz="0" w:space="0" w:color="auto"/>
            <w:left w:val="none" w:sz="0" w:space="0" w:color="auto"/>
            <w:bottom w:val="none" w:sz="0" w:space="0" w:color="auto"/>
            <w:right w:val="none" w:sz="0" w:space="0" w:color="auto"/>
          </w:divBdr>
        </w:div>
        <w:div w:id="861750991">
          <w:marLeft w:val="547"/>
          <w:marRight w:val="0"/>
          <w:marTop w:val="96"/>
          <w:marBottom w:val="72"/>
          <w:divBdr>
            <w:top w:val="none" w:sz="0" w:space="0" w:color="auto"/>
            <w:left w:val="none" w:sz="0" w:space="0" w:color="auto"/>
            <w:bottom w:val="none" w:sz="0" w:space="0" w:color="auto"/>
            <w:right w:val="none" w:sz="0" w:space="0" w:color="auto"/>
          </w:divBdr>
        </w:div>
      </w:divsChild>
    </w:div>
    <w:div w:id="65038626">
      <w:bodyDiv w:val="1"/>
      <w:marLeft w:val="0"/>
      <w:marRight w:val="0"/>
      <w:marTop w:val="0"/>
      <w:marBottom w:val="0"/>
      <w:divBdr>
        <w:top w:val="none" w:sz="0" w:space="0" w:color="auto"/>
        <w:left w:val="none" w:sz="0" w:space="0" w:color="auto"/>
        <w:bottom w:val="none" w:sz="0" w:space="0" w:color="auto"/>
        <w:right w:val="none" w:sz="0" w:space="0" w:color="auto"/>
      </w:divBdr>
    </w:div>
    <w:div w:id="87432059">
      <w:bodyDiv w:val="1"/>
      <w:marLeft w:val="0"/>
      <w:marRight w:val="0"/>
      <w:marTop w:val="0"/>
      <w:marBottom w:val="0"/>
      <w:divBdr>
        <w:top w:val="none" w:sz="0" w:space="0" w:color="auto"/>
        <w:left w:val="none" w:sz="0" w:space="0" w:color="auto"/>
        <w:bottom w:val="none" w:sz="0" w:space="0" w:color="auto"/>
        <w:right w:val="none" w:sz="0" w:space="0" w:color="auto"/>
      </w:divBdr>
    </w:div>
    <w:div w:id="178813898">
      <w:bodyDiv w:val="1"/>
      <w:marLeft w:val="0"/>
      <w:marRight w:val="0"/>
      <w:marTop w:val="0"/>
      <w:marBottom w:val="0"/>
      <w:divBdr>
        <w:top w:val="none" w:sz="0" w:space="0" w:color="auto"/>
        <w:left w:val="none" w:sz="0" w:space="0" w:color="auto"/>
        <w:bottom w:val="none" w:sz="0" w:space="0" w:color="auto"/>
        <w:right w:val="none" w:sz="0" w:space="0" w:color="auto"/>
      </w:divBdr>
    </w:div>
    <w:div w:id="257443214">
      <w:bodyDiv w:val="1"/>
      <w:marLeft w:val="0"/>
      <w:marRight w:val="0"/>
      <w:marTop w:val="0"/>
      <w:marBottom w:val="0"/>
      <w:divBdr>
        <w:top w:val="none" w:sz="0" w:space="0" w:color="auto"/>
        <w:left w:val="none" w:sz="0" w:space="0" w:color="auto"/>
        <w:bottom w:val="none" w:sz="0" w:space="0" w:color="auto"/>
        <w:right w:val="none" w:sz="0" w:space="0" w:color="auto"/>
      </w:divBdr>
    </w:div>
    <w:div w:id="267592019">
      <w:bodyDiv w:val="1"/>
      <w:marLeft w:val="0"/>
      <w:marRight w:val="0"/>
      <w:marTop w:val="0"/>
      <w:marBottom w:val="0"/>
      <w:divBdr>
        <w:top w:val="none" w:sz="0" w:space="0" w:color="auto"/>
        <w:left w:val="none" w:sz="0" w:space="0" w:color="auto"/>
        <w:bottom w:val="none" w:sz="0" w:space="0" w:color="auto"/>
        <w:right w:val="none" w:sz="0" w:space="0" w:color="auto"/>
      </w:divBdr>
    </w:div>
    <w:div w:id="269049173">
      <w:bodyDiv w:val="1"/>
      <w:marLeft w:val="0"/>
      <w:marRight w:val="0"/>
      <w:marTop w:val="0"/>
      <w:marBottom w:val="0"/>
      <w:divBdr>
        <w:top w:val="none" w:sz="0" w:space="0" w:color="auto"/>
        <w:left w:val="none" w:sz="0" w:space="0" w:color="auto"/>
        <w:bottom w:val="none" w:sz="0" w:space="0" w:color="auto"/>
        <w:right w:val="none" w:sz="0" w:space="0" w:color="auto"/>
      </w:divBdr>
      <w:divsChild>
        <w:div w:id="596249332">
          <w:marLeft w:val="547"/>
          <w:marRight w:val="0"/>
          <w:marTop w:val="115"/>
          <w:marBottom w:val="86"/>
          <w:divBdr>
            <w:top w:val="none" w:sz="0" w:space="0" w:color="auto"/>
            <w:left w:val="none" w:sz="0" w:space="0" w:color="auto"/>
            <w:bottom w:val="none" w:sz="0" w:space="0" w:color="auto"/>
            <w:right w:val="none" w:sz="0" w:space="0" w:color="auto"/>
          </w:divBdr>
        </w:div>
        <w:div w:id="1533566703">
          <w:marLeft w:val="547"/>
          <w:marRight w:val="0"/>
          <w:marTop w:val="115"/>
          <w:marBottom w:val="86"/>
          <w:divBdr>
            <w:top w:val="none" w:sz="0" w:space="0" w:color="auto"/>
            <w:left w:val="none" w:sz="0" w:space="0" w:color="auto"/>
            <w:bottom w:val="none" w:sz="0" w:space="0" w:color="auto"/>
            <w:right w:val="none" w:sz="0" w:space="0" w:color="auto"/>
          </w:divBdr>
        </w:div>
        <w:div w:id="345055692">
          <w:marLeft w:val="547"/>
          <w:marRight w:val="0"/>
          <w:marTop w:val="115"/>
          <w:marBottom w:val="86"/>
          <w:divBdr>
            <w:top w:val="none" w:sz="0" w:space="0" w:color="auto"/>
            <w:left w:val="none" w:sz="0" w:space="0" w:color="auto"/>
            <w:bottom w:val="none" w:sz="0" w:space="0" w:color="auto"/>
            <w:right w:val="none" w:sz="0" w:space="0" w:color="auto"/>
          </w:divBdr>
        </w:div>
        <w:div w:id="381832771">
          <w:marLeft w:val="547"/>
          <w:marRight w:val="0"/>
          <w:marTop w:val="115"/>
          <w:marBottom w:val="86"/>
          <w:divBdr>
            <w:top w:val="none" w:sz="0" w:space="0" w:color="auto"/>
            <w:left w:val="none" w:sz="0" w:space="0" w:color="auto"/>
            <w:bottom w:val="none" w:sz="0" w:space="0" w:color="auto"/>
            <w:right w:val="none" w:sz="0" w:space="0" w:color="auto"/>
          </w:divBdr>
        </w:div>
        <w:div w:id="1283800235">
          <w:marLeft w:val="547"/>
          <w:marRight w:val="0"/>
          <w:marTop w:val="115"/>
          <w:marBottom w:val="86"/>
          <w:divBdr>
            <w:top w:val="none" w:sz="0" w:space="0" w:color="auto"/>
            <w:left w:val="none" w:sz="0" w:space="0" w:color="auto"/>
            <w:bottom w:val="none" w:sz="0" w:space="0" w:color="auto"/>
            <w:right w:val="none" w:sz="0" w:space="0" w:color="auto"/>
          </w:divBdr>
        </w:div>
      </w:divsChild>
    </w:div>
    <w:div w:id="282540983">
      <w:bodyDiv w:val="1"/>
      <w:marLeft w:val="0"/>
      <w:marRight w:val="0"/>
      <w:marTop w:val="0"/>
      <w:marBottom w:val="0"/>
      <w:divBdr>
        <w:top w:val="none" w:sz="0" w:space="0" w:color="auto"/>
        <w:left w:val="none" w:sz="0" w:space="0" w:color="auto"/>
        <w:bottom w:val="none" w:sz="0" w:space="0" w:color="auto"/>
        <w:right w:val="none" w:sz="0" w:space="0" w:color="auto"/>
      </w:divBdr>
      <w:divsChild>
        <w:div w:id="241334956">
          <w:marLeft w:val="634"/>
          <w:marRight w:val="0"/>
          <w:marTop w:val="115"/>
          <w:marBottom w:val="86"/>
          <w:divBdr>
            <w:top w:val="none" w:sz="0" w:space="0" w:color="auto"/>
            <w:left w:val="none" w:sz="0" w:space="0" w:color="auto"/>
            <w:bottom w:val="none" w:sz="0" w:space="0" w:color="auto"/>
            <w:right w:val="none" w:sz="0" w:space="0" w:color="auto"/>
          </w:divBdr>
        </w:div>
        <w:div w:id="1658606057">
          <w:marLeft w:val="634"/>
          <w:marRight w:val="0"/>
          <w:marTop w:val="115"/>
          <w:marBottom w:val="86"/>
          <w:divBdr>
            <w:top w:val="none" w:sz="0" w:space="0" w:color="auto"/>
            <w:left w:val="none" w:sz="0" w:space="0" w:color="auto"/>
            <w:bottom w:val="none" w:sz="0" w:space="0" w:color="auto"/>
            <w:right w:val="none" w:sz="0" w:space="0" w:color="auto"/>
          </w:divBdr>
        </w:div>
        <w:div w:id="2121876445">
          <w:marLeft w:val="634"/>
          <w:marRight w:val="0"/>
          <w:marTop w:val="115"/>
          <w:marBottom w:val="86"/>
          <w:divBdr>
            <w:top w:val="none" w:sz="0" w:space="0" w:color="auto"/>
            <w:left w:val="none" w:sz="0" w:space="0" w:color="auto"/>
            <w:bottom w:val="none" w:sz="0" w:space="0" w:color="auto"/>
            <w:right w:val="none" w:sz="0" w:space="0" w:color="auto"/>
          </w:divBdr>
        </w:div>
      </w:divsChild>
    </w:div>
    <w:div w:id="295529692">
      <w:bodyDiv w:val="1"/>
      <w:marLeft w:val="0"/>
      <w:marRight w:val="0"/>
      <w:marTop w:val="0"/>
      <w:marBottom w:val="0"/>
      <w:divBdr>
        <w:top w:val="none" w:sz="0" w:space="0" w:color="auto"/>
        <w:left w:val="none" w:sz="0" w:space="0" w:color="auto"/>
        <w:bottom w:val="none" w:sz="0" w:space="0" w:color="auto"/>
        <w:right w:val="none" w:sz="0" w:space="0" w:color="auto"/>
      </w:divBdr>
      <w:divsChild>
        <w:div w:id="1019893201">
          <w:marLeft w:val="547"/>
          <w:marRight w:val="0"/>
          <w:marTop w:val="115"/>
          <w:marBottom w:val="86"/>
          <w:divBdr>
            <w:top w:val="none" w:sz="0" w:space="0" w:color="auto"/>
            <w:left w:val="none" w:sz="0" w:space="0" w:color="auto"/>
            <w:bottom w:val="none" w:sz="0" w:space="0" w:color="auto"/>
            <w:right w:val="none" w:sz="0" w:space="0" w:color="auto"/>
          </w:divBdr>
        </w:div>
        <w:div w:id="1988704645">
          <w:marLeft w:val="547"/>
          <w:marRight w:val="0"/>
          <w:marTop w:val="115"/>
          <w:marBottom w:val="86"/>
          <w:divBdr>
            <w:top w:val="none" w:sz="0" w:space="0" w:color="auto"/>
            <w:left w:val="none" w:sz="0" w:space="0" w:color="auto"/>
            <w:bottom w:val="none" w:sz="0" w:space="0" w:color="auto"/>
            <w:right w:val="none" w:sz="0" w:space="0" w:color="auto"/>
          </w:divBdr>
        </w:div>
        <w:div w:id="1362586179">
          <w:marLeft w:val="547"/>
          <w:marRight w:val="0"/>
          <w:marTop w:val="115"/>
          <w:marBottom w:val="86"/>
          <w:divBdr>
            <w:top w:val="none" w:sz="0" w:space="0" w:color="auto"/>
            <w:left w:val="none" w:sz="0" w:space="0" w:color="auto"/>
            <w:bottom w:val="none" w:sz="0" w:space="0" w:color="auto"/>
            <w:right w:val="none" w:sz="0" w:space="0" w:color="auto"/>
          </w:divBdr>
        </w:div>
        <w:div w:id="2075204318">
          <w:marLeft w:val="547"/>
          <w:marRight w:val="0"/>
          <w:marTop w:val="115"/>
          <w:marBottom w:val="86"/>
          <w:divBdr>
            <w:top w:val="none" w:sz="0" w:space="0" w:color="auto"/>
            <w:left w:val="none" w:sz="0" w:space="0" w:color="auto"/>
            <w:bottom w:val="none" w:sz="0" w:space="0" w:color="auto"/>
            <w:right w:val="none" w:sz="0" w:space="0" w:color="auto"/>
          </w:divBdr>
        </w:div>
        <w:div w:id="546261865">
          <w:marLeft w:val="547"/>
          <w:marRight w:val="0"/>
          <w:marTop w:val="115"/>
          <w:marBottom w:val="86"/>
          <w:divBdr>
            <w:top w:val="none" w:sz="0" w:space="0" w:color="auto"/>
            <w:left w:val="none" w:sz="0" w:space="0" w:color="auto"/>
            <w:bottom w:val="none" w:sz="0" w:space="0" w:color="auto"/>
            <w:right w:val="none" w:sz="0" w:space="0" w:color="auto"/>
          </w:divBdr>
        </w:div>
      </w:divsChild>
    </w:div>
    <w:div w:id="302319376">
      <w:bodyDiv w:val="1"/>
      <w:marLeft w:val="0"/>
      <w:marRight w:val="0"/>
      <w:marTop w:val="0"/>
      <w:marBottom w:val="0"/>
      <w:divBdr>
        <w:top w:val="none" w:sz="0" w:space="0" w:color="auto"/>
        <w:left w:val="none" w:sz="0" w:space="0" w:color="auto"/>
        <w:bottom w:val="none" w:sz="0" w:space="0" w:color="auto"/>
        <w:right w:val="none" w:sz="0" w:space="0" w:color="auto"/>
      </w:divBdr>
    </w:div>
    <w:div w:id="352728734">
      <w:bodyDiv w:val="1"/>
      <w:marLeft w:val="0"/>
      <w:marRight w:val="0"/>
      <w:marTop w:val="0"/>
      <w:marBottom w:val="0"/>
      <w:divBdr>
        <w:top w:val="none" w:sz="0" w:space="0" w:color="auto"/>
        <w:left w:val="none" w:sz="0" w:space="0" w:color="auto"/>
        <w:bottom w:val="none" w:sz="0" w:space="0" w:color="auto"/>
        <w:right w:val="none" w:sz="0" w:space="0" w:color="auto"/>
      </w:divBdr>
    </w:div>
    <w:div w:id="387731622">
      <w:bodyDiv w:val="1"/>
      <w:marLeft w:val="0"/>
      <w:marRight w:val="0"/>
      <w:marTop w:val="0"/>
      <w:marBottom w:val="0"/>
      <w:divBdr>
        <w:top w:val="none" w:sz="0" w:space="0" w:color="auto"/>
        <w:left w:val="none" w:sz="0" w:space="0" w:color="auto"/>
        <w:bottom w:val="none" w:sz="0" w:space="0" w:color="auto"/>
        <w:right w:val="none" w:sz="0" w:space="0" w:color="auto"/>
      </w:divBdr>
      <w:divsChild>
        <w:div w:id="1139881931">
          <w:marLeft w:val="547"/>
          <w:marRight w:val="0"/>
          <w:marTop w:val="115"/>
          <w:marBottom w:val="86"/>
          <w:divBdr>
            <w:top w:val="none" w:sz="0" w:space="0" w:color="auto"/>
            <w:left w:val="none" w:sz="0" w:space="0" w:color="auto"/>
            <w:bottom w:val="none" w:sz="0" w:space="0" w:color="auto"/>
            <w:right w:val="none" w:sz="0" w:space="0" w:color="auto"/>
          </w:divBdr>
        </w:div>
        <w:div w:id="769663242">
          <w:marLeft w:val="547"/>
          <w:marRight w:val="0"/>
          <w:marTop w:val="115"/>
          <w:marBottom w:val="86"/>
          <w:divBdr>
            <w:top w:val="none" w:sz="0" w:space="0" w:color="auto"/>
            <w:left w:val="none" w:sz="0" w:space="0" w:color="auto"/>
            <w:bottom w:val="none" w:sz="0" w:space="0" w:color="auto"/>
            <w:right w:val="none" w:sz="0" w:space="0" w:color="auto"/>
          </w:divBdr>
        </w:div>
        <w:div w:id="733165450">
          <w:marLeft w:val="1166"/>
          <w:marRight w:val="0"/>
          <w:marTop w:val="96"/>
          <w:marBottom w:val="48"/>
          <w:divBdr>
            <w:top w:val="none" w:sz="0" w:space="0" w:color="auto"/>
            <w:left w:val="none" w:sz="0" w:space="0" w:color="auto"/>
            <w:bottom w:val="none" w:sz="0" w:space="0" w:color="auto"/>
            <w:right w:val="none" w:sz="0" w:space="0" w:color="auto"/>
          </w:divBdr>
        </w:div>
        <w:div w:id="1650285451">
          <w:marLeft w:val="1166"/>
          <w:marRight w:val="0"/>
          <w:marTop w:val="96"/>
          <w:marBottom w:val="48"/>
          <w:divBdr>
            <w:top w:val="none" w:sz="0" w:space="0" w:color="auto"/>
            <w:left w:val="none" w:sz="0" w:space="0" w:color="auto"/>
            <w:bottom w:val="none" w:sz="0" w:space="0" w:color="auto"/>
            <w:right w:val="none" w:sz="0" w:space="0" w:color="auto"/>
          </w:divBdr>
        </w:div>
        <w:div w:id="1104500592">
          <w:marLeft w:val="547"/>
          <w:marRight w:val="0"/>
          <w:marTop w:val="115"/>
          <w:marBottom w:val="86"/>
          <w:divBdr>
            <w:top w:val="none" w:sz="0" w:space="0" w:color="auto"/>
            <w:left w:val="none" w:sz="0" w:space="0" w:color="auto"/>
            <w:bottom w:val="none" w:sz="0" w:space="0" w:color="auto"/>
            <w:right w:val="none" w:sz="0" w:space="0" w:color="auto"/>
          </w:divBdr>
        </w:div>
        <w:div w:id="703335081">
          <w:marLeft w:val="1166"/>
          <w:marRight w:val="0"/>
          <w:marTop w:val="96"/>
          <w:marBottom w:val="48"/>
          <w:divBdr>
            <w:top w:val="none" w:sz="0" w:space="0" w:color="auto"/>
            <w:left w:val="none" w:sz="0" w:space="0" w:color="auto"/>
            <w:bottom w:val="none" w:sz="0" w:space="0" w:color="auto"/>
            <w:right w:val="none" w:sz="0" w:space="0" w:color="auto"/>
          </w:divBdr>
        </w:div>
        <w:div w:id="866259060">
          <w:marLeft w:val="1166"/>
          <w:marRight w:val="0"/>
          <w:marTop w:val="96"/>
          <w:marBottom w:val="48"/>
          <w:divBdr>
            <w:top w:val="none" w:sz="0" w:space="0" w:color="auto"/>
            <w:left w:val="none" w:sz="0" w:space="0" w:color="auto"/>
            <w:bottom w:val="none" w:sz="0" w:space="0" w:color="auto"/>
            <w:right w:val="none" w:sz="0" w:space="0" w:color="auto"/>
          </w:divBdr>
        </w:div>
        <w:div w:id="1709143578">
          <w:marLeft w:val="1166"/>
          <w:marRight w:val="0"/>
          <w:marTop w:val="96"/>
          <w:marBottom w:val="48"/>
          <w:divBdr>
            <w:top w:val="none" w:sz="0" w:space="0" w:color="auto"/>
            <w:left w:val="none" w:sz="0" w:space="0" w:color="auto"/>
            <w:bottom w:val="none" w:sz="0" w:space="0" w:color="auto"/>
            <w:right w:val="none" w:sz="0" w:space="0" w:color="auto"/>
          </w:divBdr>
        </w:div>
        <w:div w:id="983587816">
          <w:marLeft w:val="547"/>
          <w:marRight w:val="0"/>
          <w:marTop w:val="115"/>
          <w:marBottom w:val="86"/>
          <w:divBdr>
            <w:top w:val="none" w:sz="0" w:space="0" w:color="auto"/>
            <w:left w:val="none" w:sz="0" w:space="0" w:color="auto"/>
            <w:bottom w:val="none" w:sz="0" w:space="0" w:color="auto"/>
            <w:right w:val="none" w:sz="0" w:space="0" w:color="auto"/>
          </w:divBdr>
        </w:div>
        <w:div w:id="1300570683">
          <w:marLeft w:val="547"/>
          <w:marRight w:val="0"/>
          <w:marTop w:val="115"/>
          <w:marBottom w:val="86"/>
          <w:divBdr>
            <w:top w:val="none" w:sz="0" w:space="0" w:color="auto"/>
            <w:left w:val="none" w:sz="0" w:space="0" w:color="auto"/>
            <w:bottom w:val="none" w:sz="0" w:space="0" w:color="auto"/>
            <w:right w:val="none" w:sz="0" w:space="0" w:color="auto"/>
          </w:divBdr>
        </w:div>
        <w:div w:id="1467352755">
          <w:marLeft w:val="547"/>
          <w:marRight w:val="0"/>
          <w:marTop w:val="115"/>
          <w:marBottom w:val="86"/>
          <w:divBdr>
            <w:top w:val="none" w:sz="0" w:space="0" w:color="auto"/>
            <w:left w:val="none" w:sz="0" w:space="0" w:color="auto"/>
            <w:bottom w:val="none" w:sz="0" w:space="0" w:color="auto"/>
            <w:right w:val="none" w:sz="0" w:space="0" w:color="auto"/>
          </w:divBdr>
        </w:div>
      </w:divsChild>
    </w:div>
    <w:div w:id="401416705">
      <w:bodyDiv w:val="1"/>
      <w:marLeft w:val="0"/>
      <w:marRight w:val="0"/>
      <w:marTop w:val="0"/>
      <w:marBottom w:val="0"/>
      <w:divBdr>
        <w:top w:val="none" w:sz="0" w:space="0" w:color="auto"/>
        <w:left w:val="none" w:sz="0" w:space="0" w:color="auto"/>
        <w:bottom w:val="none" w:sz="0" w:space="0" w:color="auto"/>
        <w:right w:val="none" w:sz="0" w:space="0" w:color="auto"/>
      </w:divBdr>
      <w:divsChild>
        <w:div w:id="800685469">
          <w:marLeft w:val="547"/>
          <w:marRight w:val="0"/>
          <w:marTop w:val="115"/>
          <w:marBottom w:val="86"/>
          <w:divBdr>
            <w:top w:val="none" w:sz="0" w:space="0" w:color="auto"/>
            <w:left w:val="none" w:sz="0" w:space="0" w:color="auto"/>
            <w:bottom w:val="none" w:sz="0" w:space="0" w:color="auto"/>
            <w:right w:val="none" w:sz="0" w:space="0" w:color="auto"/>
          </w:divBdr>
        </w:div>
      </w:divsChild>
    </w:div>
    <w:div w:id="401566926">
      <w:bodyDiv w:val="1"/>
      <w:marLeft w:val="0"/>
      <w:marRight w:val="0"/>
      <w:marTop w:val="0"/>
      <w:marBottom w:val="0"/>
      <w:divBdr>
        <w:top w:val="none" w:sz="0" w:space="0" w:color="auto"/>
        <w:left w:val="none" w:sz="0" w:space="0" w:color="auto"/>
        <w:bottom w:val="none" w:sz="0" w:space="0" w:color="auto"/>
        <w:right w:val="none" w:sz="0" w:space="0" w:color="auto"/>
      </w:divBdr>
    </w:div>
    <w:div w:id="408424639">
      <w:bodyDiv w:val="1"/>
      <w:marLeft w:val="0"/>
      <w:marRight w:val="0"/>
      <w:marTop w:val="0"/>
      <w:marBottom w:val="0"/>
      <w:divBdr>
        <w:top w:val="none" w:sz="0" w:space="0" w:color="auto"/>
        <w:left w:val="none" w:sz="0" w:space="0" w:color="auto"/>
        <w:bottom w:val="none" w:sz="0" w:space="0" w:color="auto"/>
        <w:right w:val="none" w:sz="0" w:space="0" w:color="auto"/>
      </w:divBdr>
    </w:div>
    <w:div w:id="436102118">
      <w:bodyDiv w:val="1"/>
      <w:marLeft w:val="0"/>
      <w:marRight w:val="0"/>
      <w:marTop w:val="0"/>
      <w:marBottom w:val="0"/>
      <w:divBdr>
        <w:top w:val="none" w:sz="0" w:space="0" w:color="auto"/>
        <w:left w:val="none" w:sz="0" w:space="0" w:color="auto"/>
        <w:bottom w:val="none" w:sz="0" w:space="0" w:color="auto"/>
        <w:right w:val="none" w:sz="0" w:space="0" w:color="auto"/>
      </w:divBdr>
    </w:div>
    <w:div w:id="446117807">
      <w:bodyDiv w:val="1"/>
      <w:marLeft w:val="0"/>
      <w:marRight w:val="0"/>
      <w:marTop w:val="0"/>
      <w:marBottom w:val="0"/>
      <w:divBdr>
        <w:top w:val="none" w:sz="0" w:space="0" w:color="auto"/>
        <w:left w:val="none" w:sz="0" w:space="0" w:color="auto"/>
        <w:bottom w:val="none" w:sz="0" w:space="0" w:color="auto"/>
        <w:right w:val="none" w:sz="0" w:space="0" w:color="auto"/>
      </w:divBdr>
    </w:div>
    <w:div w:id="454953698">
      <w:bodyDiv w:val="1"/>
      <w:marLeft w:val="0"/>
      <w:marRight w:val="0"/>
      <w:marTop w:val="0"/>
      <w:marBottom w:val="0"/>
      <w:divBdr>
        <w:top w:val="none" w:sz="0" w:space="0" w:color="auto"/>
        <w:left w:val="none" w:sz="0" w:space="0" w:color="auto"/>
        <w:bottom w:val="none" w:sz="0" w:space="0" w:color="auto"/>
        <w:right w:val="none" w:sz="0" w:space="0" w:color="auto"/>
      </w:divBdr>
    </w:div>
    <w:div w:id="463012541">
      <w:bodyDiv w:val="1"/>
      <w:marLeft w:val="0"/>
      <w:marRight w:val="0"/>
      <w:marTop w:val="0"/>
      <w:marBottom w:val="0"/>
      <w:divBdr>
        <w:top w:val="none" w:sz="0" w:space="0" w:color="auto"/>
        <w:left w:val="none" w:sz="0" w:space="0" w:color="auto"/>
        <w:bottom w:val="none" w:sz="0" w:space="0" w:color="auto"/>
        <w:right w:val="none" w:sz="0" w:space="0" w:color="auto"/>
      </w:divBdr>
      <w:divsChild>
        <w:div w:id="1035345289">
          <w:marLeft w:val="547"/>
          <w:marRight w:val="0"/>
          <w:marTop w:val="115"/>
          <w:marBottom w:val="86"/>
          <w:divBdr>
            <w:top w:val="none" w:sz="0" w:space="0" w:color="auto"/>
            <w:left w:val="none" w:sz="0" w:space="0" w:color="auto"/>
            <w:bottom w:val="none" w:sz="0" w:space="0" w:color="auto"/>
            <w:right w:val="none" w:sz="0" w:space="0" w:color="auto"/>
          </w:divBdr>
        </w:div>
        <w:div w:id="1267084144">
          <w:marLeft w:val="547"/>
          <w:marRight w:val="0"/>
          <w:marTop w:val="115"/>
          <w:marBottom w:val="86"/>
          <w:divBdr>
            <w:top w:val="none" w:sz="0" w:space="0" w:color="auto"/>
            <w:left w:val="none" w:sz="0" w:space="0" w:color="auto"/>
            <w:bottom w:val="none" w:sz="0" w:space="0" w:color="auto"/>
            <w:right w:val="none" w:sz="0" w:space="0" w:color="auto"/>
          </w:divBdr>
        </w:div>
        <w:div w:id="936139589">
          <w:marLeft w:val="547"/>
          <w:marRight w:val="0"/>
          <w:marTop w:val="115"/>
          <w:marBottom w:val="86"/>
          <w:divBdr>
            <w:top w:val="none" w:sz="0" w:space="0" w:color="auto"/>
            <w:left w:val="none" w:sz="0" w:space="0" w:color="auto"/>
            <w:bottom w:val="none" w:sz="0" w:space="0" w:color="auto"/>
            <w:right w:val="none" w:sz="0" w:space="0" w:color="auto"/>
          </w:divBdr>
        </w:div>
      </w:divsChild>
    </w:div>
    <w:div w:id="468977187">
      <w:bodyDiv w:val="1"/>
      <w:marLeft w:val="0"/>
      <w:marRight w:val="0"/>
      <w:marTop w:val="0"/>
      <w:marBottom w:val="0"/>
      <w:divBdr>
        <w:top w:val="none" w:sz="0" w:space="0" w:color="auto"/>
        <w:left w:val="none" w:sz="0" w:space="0" w:color="auto"/>
        <w:bottom w:val="none" w:sz="0" w:space="0" w:color="auto"/>
        <w:right w:val="none" w:sz="0" w:space="0" w:color="auto"/>
      </w:divBdr>
      <w:divsChild>
        <w:div w:id="712850139">
          <w:marLeft w:val="547"/>
          <w:marRight w:val="0"/>
          <w:marTop w:val="115"/>
          <w:marBottom w:val="86"/>
          <w:divBdr>
            <w:top w:val="none" w:sz="0" w:space="0" w:color="auto"/>
            <w:left w:val="none" w:sz="0" w:space="0" w:color="auto"/>
            <w:bottom w:val="none" w:sz="0" w:space="0" w:color="auto"/>
            <w:right w:val="none" w:sz="0" w:space="0" w:color="auto"/>
          </w:divBdr>
        </w:div>
        <w:div w:id="387800808">
          <w:marLeft w:val="1166"/>
          <w:marRight w:val="0"/>
          <w:marTop w:val="115"/>
          <w:marBottom w:val="58"/>
          <w:divBdr>
            <w:top w:val="none" w:sz="0" w:space="0" w:color="auto"/>
            <w:left w:val="none" w:sz="0" w:space="0" w:color="auto"/>
            <w:bottom w:val="none" w:sz="0" w:space="0" w:color="auto"/>
            <w:right w:val="none" w:sz="0" w:space="0" w:color="auto"/>
          </w:divBdr>
        </w:div>
        <w:div w:id="2014843500">
          <w:marLeft w:val="1166"/>
          <w:marRight w:val="0"/>
          <w:marTop w:val="115"/>
          <w:marBottom w:val="58"/>
          <w:divBdr>
            <w:top w:val="none" w:sz="0" w:space="0" w:color="auto"/>
            <w:left w:val="none" w:sz="0" w:space="0" w:color="auto"/>
            <w:bottom w:val="none" w:sz="0" w:space="0" w:color="auto"/>
            <w:right w:val="none" w:sz="0" w:space="0" w:color="auto"/>
          </w:divBdr>
        </w:div>
        <w:div w:id="1028066693">
          <w:marLeft w:val="1166"/>
          <w:marRight w:val="0"/>
          <w:marTop w:val="115"/>
          <w:marBottom w:val="58"/>
          <w:divBdr>
            <w:top w:val="none" w:sz="0" w:space="0" w:color="auto"/>
            <w:left w:val="none" w:sz="0" w:space="0" w:color="auto"/>
            <w:bottom w:val="none" w:sz="0" w:space="0" w:color="auto"/>
            <w:right w:val="none" w:sz="0" w:space="0" w:color="auto"/>
          </w:divBdr>
        </w:div>
        <w:div w:id="1421295309">
          <w:marLeft w:val="1166"/>
          <w:marRight w:val="0"/>
          <w:marTop w:val="115"/>
          <w:marBottom w:val="58"/>
          <w:divBdr>
            <w:top w:val="none" w:sz="0" w:space="0" w:color="auto"/>
            <w:left w:val="none" w:sz="0" w:space="0" w:color="auto"/>
            <w:bottom w:val="none" w:sz="0" w:space="0" w:color="auto"/>
            <w:right w:val="none" w:sz="0" w:space="0" w:color="auto"/>
          </w:divBdr>
        </w:div>
        <w:div w:id="427773508">
          <w:marLeft w:val="1166"/>
          <w:marRight w:val="0"/>
          <w:marTop w:val="115"/>
          <w:marBottom w:val="58"/>
          <w:divBdr>
            <w:top w:val="none" w:sz="0" w:space="0" w:color="auto"/>
            <w:left w:val="none" w:sz="0" w:space="0" w:color="auto"/>
            <w:bottom w:val="none" w:sz="0" w:space="0" w:color="auto"/>
            <w:right w:val="none" w:sz="0" w:space="0" w:color="auto"/>
          </w:divBdr>
        </w:div>
      </w:divsChild>
    </w:div>
    <w:div w:id="470514952">
      <w:bodyDiv w:val="1"/>
      <w:marLeft w:val="0"/>
      <w:marRight w:val="0"/>
      <w:marTop w:val="0"/>
      <w:marBottom w:val="0"/>
      <w:divBdr>
        <w:top w:val="none" w:sz="0" w:space="0" w:color="auto"/>
        <w:left w:val="none" w:sz="0" w:space="0" w:color="auto"/>
        <w:bottom w:val="none" w:sz="0" w:space="0" w:color="auto"/>
        <w:right w:val="none" w:sz="0" w:space="0" w:color="auto"/>
      </w:divBdr>
    </w:div>
    <w:div w:id="478689848">
      <w:bodyDiv w:val="1"/>
      <w:marLeft w:val="0"/>
      <w:marRight w:val="0"/>
      <w:marTop w:val="0"/>
      <w:marBottom w:val="0"/>
      <w:divBdr>
        <w:top w:val="none" w:sz="0" w:space="0" w:color="auto"/>
        <w:left w:val="none" w:sz="0" w:space="0" w:color="auto"/>
        <w:bottom w:val="none" w:sz="0" w:space="0" w:color="auto"/>
        <w:right w:val="none" w:sz="0" w:space="0" w:color="auto"/>
      </w:divBdr>
    </w:div>
    <w:div w:id="494537983">
      <w:bodyDiv w:val="1"/>
      <w:marLeft w:val="0"/>
      <w:marRight w:val="0"/>
      <w:marTop w:val="0"/>
      <w:marBottom w:val="0"/>
      <w:divBdr>
        <w:top w:val="none" w:sz="0" w:space="0" w:color="auto"/>
        <w:left w:val="none" w:sz="0" w:space="0" w:color="auto"/>
        <w:bottom w:val="none" w:sz="0" w:space="0" w:color="auto"/>
        <w:right w:val="none" w:sz="0" w:space="0" w:color="auto"/>
      </w:divBdr>
    </w:div>
    <w:div w:id="496533449">
      <w:bodyDiv w:val="1"/>
      <w:marLeft w:val="0"/>
      <w:marRight w:val="0"/>
      <w:marTop w:val="0"/>
      <w:marBottom w:val="0"/>
      <w:divBdr>
        <w:top w:val="none" w:sz="0" w:space="0" w:color="auto"/>
        <w:left w:val="none" w:sz="0" w:space="0" w:color="auto"/>
        <w:bottom w:val="none" w:sz="0" w:space="0" w:color="auto"/>
        <w:right w:val="none" w:sz="0" w:space="0" w:color="auto"/>
      </w:divBdr>
      <w:divsChild>
        <w:div w:id="1990479056">
          <w:marLeft w:val="1166"/>
          <w:marRight w:val="0"/>
          <w:marTop w:val="115"/>
          <w:marBottom w:val="58"/>
          <w:divBdr>
            <w:top w:val="none" w:sz="0" w:space="0" w:color="auto"/>
            <w:left w:val="none" w:sz="0" w:space="0" w:color="auto"/>
            <w:bottom w:val="none" w:sz="0" w:space="0" w:color="auto"/>
            <w:right w:val="none" w:sz="0" w:space="0" w:color="auto"/>
          </w:divBdr>
        </w:div>
        <w:div w:id="2135903672">
          <w:marLeft w:val="1166"/>
          <w:marRight w:val="0"/>
          <w:marTop w:val="115"/>
          <w:marBottom w:val="58"/>
          <w:divBdr>
            <w:top w:val="none" w:sz="0" w:space="0" w:color="auto"/>
            <w:left w:val="none" w:sz="0" w:space="0" w:color="auto"/>
            <w:bottom w:val="none" w:sz="0" w:space="0" w:color="auto"/>
            <w:right w:val="none" w:sz="0" w:space="0" w:color="auto"/>
          </w:divBdr>
        </w:div>
        <w:div w:id="2073966825">
          <w:marLeft w:val="1166"/>
          <w:marRight w:val="0"/>
          <w:marTop w:val="115"/>
          <w:marBottom w:val="58"/>
          <w:divBdr>
            <w:top w:val="none" w:sz="0" w:space="0" w:color="auto"/>
            <w:left w:val="none" w:sz="0" w:space="0" w:color="auto"/>
            <w:bottom w:val="none" w:sz="0" w:space="0" w:color="auto"/>
            <w:right w:val="none" w:sz="0" w:space="0" w:color="auto"/>
          </w:divBdr>
        </w:div>
        <w:div w:id="830294319">
          <w:marLeft w:val="1166"/>
          <w:marRight w:val="0"/>
          <w:marTop w:val="115"/>
          <w:marBottom w:val="58"/>
          <w:divBdr>
            <w:top w:val="none" w:sz="0" w:space="0" w:color="auto"/>
            <w:left w:val="none" w:sz="0" w:space="0" w:color="auto"/>
            <w:bottom w:val="none" w:sz="0" w:space="0" w:color="auto"/>
            <w:right w:val="none" w:sz="0" w:space="0" w:color="auto"/>
          </w:divBdr>
        </w:div>
      </w:divsChild>
    </w:div>
    <w:div w:id="501625943">
      <w:bodyDiv w:val="1"/>
      <w:marLeft w:val="0"/>
      <w:marRight w:val="0"/>
      <w:marTop w:val="0"/>
      <w:marBottom w:val="0"/>
      <w:divBdr>
        <w:top w:val="none" w:sz="0" w:space="0" w:color="auto"/>
        <w:left w:val="none" w:sz="0" w:space="0" w:color="auto"/>
        <w:bottom w:val="none" w:sz="0" w:space="0" w:color="auto"/>
        <w:right w:val="none" w:sz="0" w:space="0" w:color="auto"/>
      </w:divBdr>
    </w:div>
    <w:div w:id="530919699">
      <w:bodyDiv w:val="1"/>
      <w:marLeft w:val="0"/>
      <w:marRight w:val="0"/>
      <w:marTop w:val="0"/>
      <w:marBottom w:val="0"/>
      <w:divBdr>
        <w:top w:val="none" w:sz="0" w:space="0" w:color="auto"/>
        <w:left w:val="none" w:sz="0" w:space="0" w:color="auto"/>
        <w:bottom w:val="none" w:sz="0" w:space="0" w:color="auto"/>
        <w:right w:val="none" w:sz="0" w:space="0" w:color="auto"/>
      </w:divBdr>
      <w:divsChild>
        <w:div w:id="1419324575">
          <w:marLeft w:val="547"/>
          <w:marRight w:val="0"/>
          <w:marTop w:val="96"/>
          <w:marBottom w:val="72"/>
          <w:divBdr>
            <w:top w:val="none" w:sz="0" w:space="0" w:color="auto"/>
            <w:left w:val="none" w:sz="0" w:space="0" w:color="auto"/>
            <w:bottom w:val="none" w:sz="0" w:space="0" w:color="auto"/>
            <w:right w:val="none" w:sz="0" w:space="0" w:color="auto"/>
          </w:divBdr>
        </w:div>
        <w:div w:id="1070539883">
          <w:marLeft w:val="547"/>
          <w:marRight w:val="0"/>
          <w:marTop w:val="96"/>
          <w:marBottom w:val="72"/>
          <w:divBdr>
            <w:top w:val="none" w:sz="0" w:space="0" w:color="auto"/>
            <w:left w:val="none" w:sz="0" w:space="0" w:color="auto"/>
            <w:bottom w:val="none" w:sz="0" w:space="0" w:color="auto"/>
            <w:right w:val="none" w:sz="0" w:space="0" w:color="auto"/>
          </w:divBdr>
        </w:div>
      </w:divsChild>
    </w:div>
    <w:div w:id="555363043">
      <w:bodyDiv w:val="1"/>
      <w:marLeft w:val="0"/>
      <w:marRight w:val="0"/>
      <w:marTop w:val="0"/>
      <w:marBottom w:val="0"/>
      <w:divBdr>
        <w:top w:val="none" w:sz="0" w:space="0" w:color="auto"/>
        <w:left w:val="none" w:sz="0" w:space="0" w:color="auto"/>
        <w:bottom w:val="none" w:sz="0" w:space="0" w:color="auto"/>
        <w:right w:val="none" w:sz="0" w:space="0" w:color="auto"/>
      </w:divBdr>
      <w:divsChild>
        <w:div w:id="1501386926">
          <w:marLeft w:val="547"/>
          <w:marRight w:val="0"/>
          <w:marTop w:val="86"/>
          <w:marBottom w:val="65"/>
          <w:divBdr>
            <w:top w:val="none" w:sz="0" w:space="0" w:color="auto"/>
            <w:left w:val="none" w:sz="0" w:space="0" w:color="auto"/>
            <w:bottom w:val="none" w:sz="0" w:space="0" w:color="auto"/>
            <w:right w:val="none" w:sz="0" w:space="0" w:color="auto"/>
          </w:divBdr>
        </w:div>
        <w:div w:id="942999439">
          <w:marLeft w:val="547"/>
          <w:marRight w:val="0"/>
          <w:marTop w:val="86"/>
          <w:marBottom w:val="65"/>
          <w:divBdr>
            <w:top w:val="none" w:sz="0" w:space="0" w:color="auto"/>
            <w:left w:val="none" w:sz="0" w:space="0" w:color="auto"/>
            <w:bottom w:val="none" w:sz="0" w:space="0" w:color="auto"/>
            <w:right w:val="none" w:sz="0" w:space="0" w:color="auto"/>
          </w:divBdr>
        </w:div>
        <w:div w:id="834998147">
          <w:marLeft w:val="547"/>
          <w:marRight w:val="0"/>
          <w:marTop w:val="86"/>
          <w:marBottom w:val="65"/>
          <w:divBdr>
            <w:top w:val="none" w:sz="0" w:space="0" w:color="auto"/>
            <w:left w:val="none" w:sz="0" w:space="0" w:color="auto"/>
            <w:bottom w:val="none" w:sz="0" w:space="0" w:color="auto"/>
            <w:right w:val="none" w:sz="0" w:space="0" w:color="auto"/>
          </w:divBdr>
        </w:div>
        <w:div w:id="1189023152">
          <w:marLeft w:val="547"/>
          <w:marRight w:val="0"/>
          <w:marTop w:val="86"/>
          <w:marBottom w:val="65"/>
          <w:divBdr>
            <w:top w:val="none" w:sz="0" w:space="0" w:color="auto"/>
            <w:left w:val="none" w:sz="0" w:space="0" w:color="auto"/>
            <w:bottom w:val="none" w:sz="0" w:space="0" w:color="auto"/>
            <w:right w:val="none" w:sz="0" w:space="0" w:color="auto"/>
          </w:divBdr>
        </w:div>
      </w:divsChild>
    </w:div>
    <w:div w:id="609238147">
      <w:bodyDiv w:val="1"/>
      <w:marLeft w:val="0"/>
      <w:marRight w:val="0"/>
      <w:marTop w:val="0"/>
      <w:marBottom w:val="0"/>
      <w:divBdr>
        <w:top w:val="none" w:sz="0" w:space="0" w:color="auto"/>
        <w:left w:val="none" w:sz="0" w:space="0" w:color="auto"/>
        <w:bottom w:val="none" w:sz="0" w:space="0" w:color="auto"/>
        <w:right w:val="none" w:sz="0" w:space="0" w:color="auto"/>
      </w:divBdr>
    </w:div>
    <w:div w:id="617025751">
      <w:bodyDiv w:val="1"/>
      <w:marLeft w:val="0"/>
      <w:marRight w:val="0"/>
      <w:marTop w:val="0"/>
      <w:marBottom w:val="0"/>
      <w:divBdr>
        <w:top w:val="none" w:sz="0" w:space="0" w:color="auto"/>
        <w:left w:val="none" w:sz="0" w:space="0" w:color="auto"/>
        <w:bottom w:val="none" w:sz="0" w:space="0" w:color="auto"/>
        <w:right w:val="none" w:sz="0" w:space="0" w:color="auto"/>
      </w:divBdr>
      <w:divsChild>
        <w:div w:id="1488128739">
          <w:marLeft w:val="547"/>
          <w:marRight w:val="0"/>
          <w:marTop w:val="115"/>
          <w:marBottom w:val="86"/>
          <w:divBdr>
            <w:top w:val="none" w:sz="0" w:space="0" w:color="auto"/>
            <w:left w:val="none" w:sz="0" w:space="0" w:color="auto"/>
            <w:bottom w:val="none" w:sz="0" w:space="0" w:color="auto"/>
            <w:right w:val="none" w:sz="0" w:space="0" w:color="auto"/>
          </w:divBdr>
        </w:div>
        <w:div w:id="213010574">
          <w:marLeft w:val="547"/>
          <w:marRight w:val="0"/>
          <w:marTop w:val="115"/>
          <w:marBottom w:val="86"/>
          <w:divBdr>
            <w:top w:val="none" w:sz="0" w:space="0" w:color="auto"/>
            <w:left w:val="none" w:sz="0" w:space="0" w:color="auto"/>
            <w:bottom w:val="none" w:sz="0" w:space="0" w:color="auto"/>
            <w:right w:val="none" w:sz="0" w:space="0" w:color="auto"/>
          </w:divBdr>
        </w:div>
        <w:div w:id="2022387792">
          <w:marLeft w:val="547"/>
          <w:marRight w:val="0"/>
          <w:marTop w:val="115"/>
          <w:marBottom w:val="86"/>
          <w:divBdr>
            <w:top w:val="none" w:sz="0" w:space="0" w:color="auto"/>
            <w:left w:val="none" w:sz="0" w:space="0" w:color="auto"/>
            <w:bottom w:val="none" w:sz="0" w:space="0" w:color="auto"/>
            <w:right w:val="none" w:sz="0" w:space="0" w:color="auto"/>
          </w:divBdr>
        </w:div>
        <w:div w:id="942565534">
          <w:marLeft w:val="547"/>
          <w:marRight w:val="0"/>
          <w:marTop w:val="115"/>
          <w:marBottom w:val="86"/>
          <w:divBdr>
            <w:top w:val="none" w:sz="0" w:space="0" w:color="auto"/>
            <w:left w:val="none" w:sz="0" w:space="0" w:color="auto"/>
            <w:bottom w:val="none" w:sz="0" w:space="0" w:color="auto"/>
            <w:right w:val="none" w:sz="0" w:space="0" w:color="auto"/>
          </w:divBdr>
        </w:div>
        <w:div w:id="372314738">
          <w:marLeft w:val="547"/>
          <w:marRight w:val="0"/>
          <w:marTop w:val="115"/>
          <w:marBottom w:val="86"/>
          <w:divBdr>
            <w:top w:val="none" w:sz="0" w:space="0" w:color="auto"/>
            <w:left w:val="none" w:sz="0" w:space="0" w:color="auto"/>
            <w:bottom w:val="none" w:sz="0" w:space="0" w:color="auto"/>
            <w:right w:val="none" w:sz="0" w:space="0" w:color="auto"/>
          </w:divBdr>
        </w:div>
      </w:divsChild>
    </w:div>
    <w:div w:id="620723509">
      <w:bodyDiv w:val="1"/>
      <w:marLeft w:val="0"/>
      <w:marRight w:val="0"/>
      <w:marTop w:val="0"/>
      <w:marBottom w:val="0"/>
      <w:divBdr>
        <w:top w:val="none" w:sz="0" w:space="0" w:color="auto"/>
        <w:left w:val="none" w:sz="0" w:space="0" w:color="auto"/>
        <w:bottom w:val="none" w:sz="0" w:space="0" w:color="auto"/>
        <w:right w:val="none" w:sz="0" w:space="0" w:color="auto"/>
      </w:divBdr>
      <w:divsChild>
        <w:div w:id="715472526">
          <w:marLeft w:val="547"/>
          <w:marRight w:val="0"/>
          <w:marTop w:val="115"/>
          <w:marBottom w:val="86"/>
          <w:divBdr>
            <w:top w:val="none" w:sz="0" w:space="0" w:color="auto"/>
            <w:left w:val="none" w:sz="0" w:space="0" w:color="auto"/>
            <w:bottom w:val="none" w:sz="0" w:space="0" w:color="auto"/>
            <w:right w:val="none" w:sz="0" w:space="0" w:color="auto"/>
          </w:divBdr>
        </w:div>
        <w:div w:id="2075738141">
          <w:marLeft w:val="547"/>
          <w:marRight w:val="0"/>
          <w:marTop w:val="115"/>
          <w:marBottom w:val="86"/>
          <w:divBdr>
            <w:top w:val="none" w:sz="0" w:space="0" w:color="auto"/>
            <w:left w:val="none" w:sz="0" w:space="0" w:color="auto"/>
            <w:bottom w:val="none" w:sz="0" w:space="0" w:color="auto"/>
            <w:right w:val="none" w:sz="0" w:space="0" w:color="auto"/>
          </w:divBdr>
        </w:div>
      </w:divsChild>
    </w:div>
    <w:div w:id="653802213">
      <w:bodyDiv w:val="1"/>
      <w:marLeft w:val="0"/>
      <w:marRight w:val="0"/>
      <w:marTop w:val="0"/>
      <w:marBottom w:val="0"/>
      <w:divBdr>
        <w:top w:val="none" w:sz="0" w:space="0" w:color="auto"/>
        <w:left w:val="none" w:sz="0" w:space="0" w:color="auto"/>
        <w:bottom w:val="none" w:sz="0" w:space="0" w:color="auto"/>
        <w:right w:val="none" w:sz="0" w:space="0" w:color="auto"/>
      </w:divBdr>
      <w:divsChild>
        <w:div w:id="1290282621">
          <w:marLeft w:val="1166"/>
          <w:marRight w:val="0"/>
          <w:marTop w:val="115"/>
          <w:marBottom w:val="58"/>
          <w:divBdr>
            <w:top w:val="none" w:sz="0" w:space="0" w:color="auto"/>
            <w:left w:val="none" w:sz="0" w:space="0" w:color="auto"/>
            <w:bottom w:val="none" w:sz="0" w:space="0" w:color="auto"/>
            <w:right w:val="none" w:sz="0" w:space="0" w:color="auto"/>
          </w:divBdr>
        </w:div>
        <w:div w:id="39521843">
          <w:marLeft w:val="1166"/>
          <w:marRight w:val="0"/>
          <w:marTop w:val="115"/>
          <w:marBottom w:val="58"/>
          <w:divBdr>
            <w:top w:val="none" w:sz="0" w:space="0" w:color="auto"/>
            <w:left w:val="none" w:sz="0" w:space="0" w:color="auto"/>
            <w:bottom w:val="none" w:sz="0" w:space="0" w:color="auto"/>
            <w:right w:val="none" w:sz="0" w:space="0" w:color="auto"/>
          </w:divBdr>
        </w:div>
        <w:div w:id="403652019">
          <w:marLeft w:val="1166"/>
          <w:marRight w:val="0"/>
          <w:marTop w:val="115"/>
          <w:marBottom w:val="58"/>
          <w:divBdr>
            <w:top w:val="none" w:sz="0" w:space="0" w:color="auto"/>
            <w:left w:val="none" w:sz="0" w:space="0" w:color="auto"/>
            <w:bottom w:val="none" w:sz="0" w:space="0" w:color="auto"/>
            <w:right w:val="none" w:sz="0" w:space="0" w:color="auto"/>
          </w:divBdr>
        </w:div>
        <w:div w:id="1743332529">
          <w:marLeft w:val="1166"/>
          <w:marRight w:val="0"/>
          <w:marTop w:val="115"/>
          <w:marBottom w:val="58"/>
          <w:divBdr>
            <w:top w:val="none" w:sz="0" w:space="0" w:color="auto"/>
            <w:left w:val="none" w:sz="0" w:space="0" w:color="auto"/>
            <w:bottom w:val="none" w:sz="0" w:space="0" w:color="auto"/>
            <w:right w:val="none" w:sz="0" w:space="0" w:color="auto"/>
          </w:divBdr>
        </w:div>
      </w:divsChild>
    </w:div>
    <w:div w:id="683019124">
      <w:bodyDiv w:val="1"/>
      <w:marLeft w:val="0"/>
      <w:marRight w:val="0"/>
      <w:marTop w:val="0"/>
      <w:marBottom w:val="0"/>
      <w:divBdr>
        <w:top w:val="none" w:sz="0" w:space="0" w:color="auto"/>
        <w:left w:val="none" w:sz="0" w:space="0" w:color="auto"/>
        <w:bottom w:val="none" w:sz="0" w:space="0" w:color="auto"/>
        <w:right w:val="none" w:sz="0" w:space="0" w:color="auto"/>
      </w:divBdr>
      <w:divsChild>
        <w:div w:id="1813207371">
          <w:marLeft w:val="547"/>
          <w:marRight w:val="0"/>
          <w:marTop w:val="86"/>
          <w:marBottom w:val="65"/>
          <w:divBdr>
            <w:top w:val="none" w:sz="0" w:space="0" w:color="auto"/>
            <w:left w:val="none" w:sz="0" w:space="0" w:color="auto"/>
            <w:bottom w:val="none" w:sz="0" w:space="0" w:color="auto"/>
            <w:right w:val="none" w:sz="0" w:space="0" w:color="auto"/>
          </w:divBdr>
        </w:div>
        <w:div w:id="533734667">
          <w:marLeft w:val="547"/>
          <w:marRight w:val="0"/>
          <w:marTop w:val="86"/>
          <w:marBottom w:val="65"/>
          <w:divBdr>
            <w:top w:val="none" w:sz="0" w:space="0" w:color="auto"/>
            <w:left w:val="none" w:sz="0" w:space="0" w:color="auto"/>
            <w:bottom w:val="none" w:sz="0" w:space="0" w:color="auto"/>
            <w:right w:val="none" w:sz="0" w:space="0" w:color="auto"/>
          </w:divBdr>
        </w:div>
        <w:div w:id="364597892">
          <w:marLeft w:val="547"/>
          <w:marRight w:val="0"/>
          <w:marTop w:val="86"/>
          <w:marBottom w:val="65"/>
          <w:divBdr>
            <w:top w:val="none" w:sz="0" w:space="0" w:color="auto"/>
            <w:left w:val="none" w:sz="0" w:space="0" w:color="auto"/>
            <w:bottom w:val="none" w:sz="0" w:space="0" w:color="auto"/>
            <w:right w:val="none" w:sz="0" w:space="0" w:color="auto"/>
          </w:divBdr>
        </w:div>
      </w:divsChild>
    </w:div>
    <w:div w:id="686061539">
      <w:bodyDiv w:val="1"/>
      <w:marLeft w:val="0"/>
      <w:marRight w:val="0"/>
      <w:marTop w:val="0"/>
      <w:marBottom w:val="0"/>
      <w:divBdr>
        <w:top w:val="none" w:sz="0" w:space="0" w:color="auto"/>
        <w:left w:val="none" w:sz="0" w:space="0" w:color="auto"/>
        <w:bottom w:val="none" w:sz="0" w:space="0" w:color="auto"/>
        <w:right w:val="none" w:sz="0" w:space="0" w:color="auto"/>
      </w:divBdr>
    </w:div>
    <w:div w:id="705328794">
      <w:bodyDiv w:val="1"/>
      <w:marLeft w:val="0"/>
      <w:marRight w:val="0"/>
      <w:marTop w:val="0"/>
      <w:marBottom w:val="0"/>
      <w:divBdr>
        <w:top w:val="none" w:sz="0" w:space="0" w:color="auto"/>
        <w:left w:val="none" w:sz="0" w:space="0" w:color="auto"/>
        <w:bottom w:val="none" w:sz="0" w:space="0" w:color="auto"/>
        <w:right w:val="none" w:sz="0" w:space="0" w:color="auto"/>
      </w:divBdr>
      <w:divsChild>
        <w:div w:id="653611361">
          <w:marLeft w:val="547"/>
          <w:marRight w:val="0"/>
          <w:marTop w:val="115"/>
          <w:marBottom w:val="86"/>
          <w:divBdr>
            <w:top w:val="none" w:sz="0" w:space="0" w:color="auto"/>
            <w:left w:val="none" w:sz="0" w:space="0" w:color="auto"/>
            <w:bottom w:val="none" w:sz="0" w:space="0" w:color="auto"/>
            <w:right w:val="none" w:sz="0" w:space="0" w:color="auto"/>
          </w:divBdr>
        </w:div>
        <w:div w:id="721635262">
          <w:marLeft w:val="547"/>
          <w:marRight w:val="0"/>
          <w:marTop w:val="115"/>
          <w:marBottom w:val="86"/>
          <w:divBdr>
            <w:top w:val="none" w:sz="0" w:space="0" w:color="auto"/>
            <w:left w:val="none" w:sz="0" w:space="0" w:color="auto"/>
            <w:bottom w:val="none" w:sz="0" w:space="0" w:color="auto"/>
            <w:right w:val="none" w:sz="0" w:space="0" w:color="auto"/>
          </w:divBdr>
        </w:div>
        <w:div w:id="1915582450">
          <w:marLeft w:val="547"/>
          <w:marRight w:val="0"/>
          <w:marTop w:val="115"/>
          <w:marBottom w:val="86"/>
          <w:divBdr>
            <w:top w:val="none" w:sz="0" w:space="0" w:color="auto"/>
            <w:left w:val="none" w:sz="0" w:space="0" w:color="auto"/>
            <w:bottom w:val="none" w:sz="0" w:space="0" w:color="auto"/>
            <w:right w:val="none" w:sz="0" w:space="0" w:color="auto"/>
          </w:divBdr>
        </w:div>
      </w:divsChild>
    </w:div>
    <w:div w:id="733503540">
      <w:bodyDiv w:val="1"/>
      <w:marLeft w:val="0"/>
      <w:marRight w:val="0"/>
      <w:marTop w:val="0"/>
      <w:marBottom w:val="0"/>
      <w:divBdr>
        <w:top w:val="none" w:sz="0" w:space="0" w:color="auto"/>
        <w:left w:val="none" w:sz="0" w:space="0" w:color="auto"/>
        <w:bottom w:val="none" w:sz="0" w:space="0" w:color="auto"/>
        <w:right w:val="none" w:sz="0" w:space="0" w:color="auto"/>
      </w:divBdr>
    </w:div>
    <w:div w:id="767772821">
      <w:bodyDiv w:val="1"/>
      <w:marLeft w:val="0"/>
      <w:marRight w:val="0"/>
      <w:marTop w:val="0"/>
      <w:marBottom w:val="0"/>
      <w:divBdr>
        <w:top w:val="none" w:sz="0" w:space="0" w:color="auto"/>
        <w:left w:val="none" w:sz="0" w:space="0" w:color="auto"/>
        <w:bottom w:val="none" w:sz="0" w:space="0" w:color="auto"/>
        <w:right w:val="none" w:sz="0" w:space="0" w:color="auto"/>
      </w:divBdr>
    </w:div>
    <w:div w:id="782311797">
      <w:bodyDiv w:val="1"/>
      <w:marLeft w:val="0"/>
      <w:marRight w:val="0"/>
      <w:marTop w:val="0"/>
      <w:marBottom w:val="0"/>
      <w:divBdr>
        <w:top w:val="none" w:sz="0" w:space="0" w:color="auto"/>
        <w:left w:val="none" w:sz="0" w:space="0" w:color="auto"/>
        <w:bottom w:val="none" w:sz="0" w:space="0" w:color="auto"/>
        <w:right w:val="none" w:sz="0" w:space="0" w:color="auto"/>
      </w:divBdr>
      <w:divsChild>
        <w:div w:id="363870803">
          <w:marLeft w:val="547"/>
          <w:marRight w:val="0"/>
          <w:marTop w:val="115"/>
          <w:marBottom w:val="86"/>
          <w:divBdr>
            <w:top w:val="none" w:sz="0" w:space="0" w:color="auto"/>
            <w:left w:val="none" w:sz="0" w:space="0" w:color="auto"/>
            <w:bottom w:val="none" w:sz="0" w:space="0" w:color="auto"/>
            <w:right w:val="none" w:sz="0" w:space="0" w:color="auto"/>
          </w:divBdr>
        </w:div>
      </w:divsChild>
    </w:div>
    <w:div w:id="805048255">
      <w:bodyDiv w:val="1"/>
      <w:marLeft w:val="0"/>
      <w:marRight w:val="0"/>
      <w:marTop w:val="0"/>
      <w:marBottom w:val="0"/>
      <w:divBdr>
        <w:top w:val="none" w:sz="0" w:space="0" w:color="auto"/>
        <w:left w:val="none" w:sz="0" w:space="0" w:color="auto"/>
        <w:bottom w:val="none" w:sz="0" w:space="0" w:color="auto"/>
        <w:right w:val="none" w:sz="0" w:space="0" w:color="auto"/>
      </w:divBdr>
    </w:div>
    <w:div w:id="835458046">
      <w:bodyDiv w:val="1"/>
      <w:marLeft w:val="0"/>
      <w:marRight w:val="0"/>
      <w:marTop w:val="0"/>
      <w:marBottom w:val="0"/>
      <w:divBdr>
        <w:top w:val="none" w:sz="0" w:space="0" w:color="auto"/>
        <w:left w:val="none" w:sz="0" w:space="0" w:color="auto"/>
        <w:bottom w:val="none" w:sz="0" w:space="0" w:color="auto"/>
        <w:right w:val="none" w:sz="0" w:space="0" w:color="auto"/>
      </w:divBdr>
      <w:divsChild>
        <w:div w:id="1714235893">
          <w:marLeft w:val="547"/>
          <w:marRight w:val="0"/>
          <w:marTop w:val="115"/>
          <w:marBottom w:val="86"/>
          <w:divBdr>
            <w:top w:val="none" w:sz="0" w:space="0" w:color="auto"/>
            <w:left w:val="none" w:sz="0" w:space="0" w:color="auto"/>
            <w:bottom w:val="none" w:sz="0" w:space="0" w:color="auto"/>
            <w:right w:val="none" w:sz="0" w:space="0" w:color="auto"/>
          </w:divBdr>
        </w:div>
        <w:div w:id="1209147808">
          <w:marLeft w:val="547"/>
          <w:marRight w:val="0"/>
          <w:marTop w:val="115"/>
          <w:marBottom w:val="86"/>
          <w:divBdr>
            <w:top w:val="none" w:sz="0" w:space="0" w:color="auto"/>
            <w:left w:val="none" w:sz="0" w:space="0" w:color="auto"/>
            <w:bottom w:val="none" w:sz="0" w:space="0" w:color="auto"/>
            <w:right w:val="none" w:sz="0" w:space="0" w:color="auto"/>
          </w:divBdr>
        </w:div>
        <w:div w:id="1354258803">
          <w:marLeft w:val="547"/>
          <w:marRight w:val="0"/>
          <w:marTop w:val="115"/>
          <w:marBottom w:val="86"/>
          <w:divBdr>
            <w:top w:val="none" w:sz="0" w:space="0" w:color="auto"/>
            <w:left w:val="none" w:sz="0" w:space="0" w:color="auto"/>
            <w:bottom w:val="none" w:sz="0" w:space="0" w:color="auto"/>
            <w:right w:val="none" w:sz="0" w:space="0" w:color="auto"/>
          </w:divBdr>
        </w:div>
      </w:divsChild>
    </w:div>
    <w:div w:id="850949914">
      <w:bodyDiv w:val="1"/>
      <w:marLeft w:val="0"/>
      <w:marRight w:val="0"/>
      <w:marTop w:val="0"/>
      <w:marBottom w:val="0"/>
      <w:divBdr>
        <w:top w:val="none" w:sz="0" w:space="0" w:color="auto"/>
        <w:left w:val="none" w:sz="0" w:space="0" w:color="auto"/>
        <w:bottom w:val="none" w:sz="0" w:space="0" w:color="auto"/>
        <w:right w:val="none" w:sz="0" w:space="0" w:color="auto"/>
      </w:divBdr>
      <w:divsChild>
        <w:div w:id="1786805108">
          <w:marLeft w:val="547"/>
          <w:marRight w:val="0"/>
          <w:marTop w:val="115"/>
          <w:marBottom w:val="86"/>
          <w:divBdr>
            <w:top w:val="none" w:sz="0" w:space="0" w:color="auto"/>
            <w:left w:val="none" w:sz="0" w:space="0" w:color="auto"/>
            <w:bottom w:val="none" w:sz="0" w:space="0" w:color="auto"/>
            <w:right w:val="none" w:sz="0" w:space="0" w:color="auto"/>
          </w:divBdr>
        </w:div>
      </w:divsChild>
    </w:div>
    <w:div w:id="853617750">
      <w:bodyDiv w:val="1"/>
      <w:marLeft w:val="0"/>
      <w:marRight w:val="0"/>
      <w:marTop w:val="0"/>
      <w:marBottom w:val="0"/>
      <w:divBdr>
        <w:top w:val="none" w:sz="0" w:space="0" w:color="auto"/>
        <w:left w:val="none" w:sz="0" w:space="0" w:color="auto"/>
        <w:bottom w:val="none" w:sz="0" w:space="0" w:color="auto"/>
        <w:right w:val="none" w:sz="0" w:space="0" w:color="auto"/>
      </w:divBdr>
      <w:divsChild>
        <w:div w:id="782580997">
          <w:marLeft w:val="547"/>
          <w:marRight w:val="0"/>
          <w:marTop w:val="96"/>
          <w:marBottom w:val="72"/>
          <w:divBdr>
            <w:top w:val="none" w:sz="0" w:space="0" w:color="auto"/>
            <w:left w:val="none" w:sz="0" w:space="0" w:color="auto"/>
            <w:bottom w:val="none" w:sz="0" w:space="0" w:color="auto"/>
            <w:right w:val="none" w:sz="0" w:space="0" w:color="auto"/>
          </w:divBdr>
        </w:div>
        <w:div w:id="507981806">
          <w:marLeft w:val="547"/>
          <w:marRight w:val="0"/>
          <w:marTop w:val="96"/>
          <w:marBottom w:val="72"/>
          <w:divBdr>
            <w:top w:val="none" w:sz="0" w:space="0" w:color="auto"/>
            <w:left w:val="none" w:sz="0" w:space="0" w:color="auto"/>
            <w:bottom w:val="none" w:sz="0" w:space="0" w:color="auto"/>
            <w:right w:val="none" w:sz="0" w:space="0" w:color="auto"/>
          </w:divBdr>
        </w:div>
        <w:div w:id="1578706338">
          <w:marLeft w:val="547"/>
          <w:marRight w:val="0"/>
          <w:marTop w:val="96"/>
          <w:marBottom w:val="72"/>
          <w:divBdr>
            <w:top w:val="none" w:sz="0" w:space="0" w:color="auto"/>
            <w:left w:val="none" w:sz="0" w:space="0" w:color="auto"/>
            <w:bottom w:val="none" w:sz="0" w:space="0" w:color="auto"/>
            <w:right w:val="none" w:sz="0" w:space="0" w:color="auto"/>
          </w:divBdr>
        </w:div>
        <w:div w:id="873420193">
          <w:marLeft w:val="547"/>
          <w:marRight w:val="0"/>
          <w:marTop w:val="96"/>
          <w:marBottom w:val="72"/>
          <w:divBdr>
            <w:top w:val="none" w:sz="0" w:space="0" w:color="auto"/>
            <w:left w:val="none" w:sz="0" w:space="0" w:color="auto"/>
            <w:bottom w:val="none" w:sz="0" w:space="0" w:color="auto"/>
            <w:right w:val="none" w:sz="0" w:space="0" w:color="auto"/>
          </w:divBdr>
        </w:div>
      </w:divsChild>
    </w:div>
    <w:div w:id="867180363">
      <w:bodyDiv w:val="1"/>
      <w:marLeft w:val="0"/>
      <w:marRight w:val="0"/>
      <w:marTop w:val="0"/>
      <w:marBottom w:val="0"/>
      <w:divBdr>
        <w:top w:val="none" w:sz="0" w:space="0" w:color="auto"/>
        <w:left w:val="none" w:sz="0" w:space="0" w:color="auto"/>
        <w:bottom w:val="none" w:sz="0" w:space="0" w:color="auto"/>
        <w:right w:val="none" w:sz="0" w:space="0" w:color="auto"/>
      </w:divBdr>
      <w:divsChild>
        <w:div w:id="2082679372">
          <w:marLeft w:val="1166"/>
          <w:marRight w:val="0"/>
          <w:marTop w:val="115"/>
          <w:marBottom w:val="58"/>
          <w:divBdr>
            <w:top w:val="none" w:sz="0" w:space="0" w:color="auto"/>
            <w:left w:val="none" w:sz="0" w:space="0" w:color="auto"/>
            <w:bottom w:val="none" w:sz="0" w:space="0" w:color="auto"/>
            <w:right w:val="none" w:sz="0" w:space="0" w:color="auto"/>
          </w:divBdr>
        </w:div>
        <w:div w:id="1138180820">
          <w:marLeft w:val="1166"/>
          <w:marRight w:val="0"/>
          <w:marTop w:val="115"/>
          <w:marBottom w:val="58"/>
          <w:divBdr>
            <w:top w:val="none" w:sz="0" w:space="0" w:color="auto"/>
            <w:left w:val="none" w:sz="0" w:space="0" w:color="auto"/>
            <w:bottom w:val="none" w:sz="0" w:space="0" w:color="auto"/>
            <w:right w:val="none" w:sz="0" w:space="0" w:color="auto"/>
          </w:divBdr>
        </w:div>
        <w:div w:id="833572370">
          <w:marLeft w:val="1166"/>
          <w:marRight w:val="0"/>
          <w:marTop w:val="115"/>
          <w:marBottom w:val="58"/>
          <w:divBdr>
            <w:top w:val="none" w:sz="0" w:space="0" w:color="auto"/>
            <w:left w:val="none" w:sz="0" w:space="0" w:color="auto"/>
            <w:bottom w:val="none" w:sz="0" w:space="0" w:color="auto"/>
            <w:right w:val="none" w:sz="0" w:space="0" w:color="auto"/>
          </w:divBdr>
        </w:div>
      </w:divsChild>
    </w:div>
    <w:div w:id="897013361">
      <w:bodyDiv w:val="1"/>
      <w:marLeft w:val="0"/>
      <w:marRight w:val="0"/>
      <w:marTop w:val="0"/>
      <w:marBottom w:val="0"/>
      <w:divBdr>
        <w:top w:val="none" w:sz="0" w:space="0" w:color="auto"/>
        <w:left w:val="none" w:sz="0" w:space="0" w:color="auto"/>
        <w:bottom w:val="none" w:sz="0" w:space="0" w:color="auto"/>
        <w:right w:val="none" w:sz="0" w:space="0" w:color="auto"/>
      </w:divBdr>
    </w:div>
    <w:div w:id="912469035">
      <w:bodyDiv w:val="1"/>
      <w:marLeft w:val="0"/>
      <w:marRight w:val="0"/>
      <w:marTop w:val="0"/>
      <w:marBottom w:val="0"/>
      <w:divBdr>
        <w:top w:val="none" w:sz="0" w:space="0" w:color="auto"/>
        <w:left w:val="none" w:sz="0" w:space="0" w:color="auto"/>
        <w:bottom w:val="none" w:sz="0" w:space="0" w:color="auto"/>
        <w:right w:val="none" w:sz="0" w:space="0" w:color="auto"/>
      </w:divBdr>
      <w:divsChild>
        <w:div w:id="87625282">
          <w:marLeft w:val="1166"/>
          <w:marRight w:val="0"/>
          <w:marTop w:val="115"/>
          <w:marBottom w:val="58"/>
          <w:divBdr>
            <w:top w:val="none" w:sz="0" w:space="0" w:color="auto"/>
            <w:left w:val="none" w:sz="0" w:space="0" w:color="auto"/>
            <w:bottom w:val="none" w:sz="0" w:space="0" w:color="auto"/>
            <w:right w:val="none" w:sz="0" w:space="0" w:color="auto"/>
          </w:divBdr>
        </w:div>
        <w:div w:id="1545681492">
          <w:marLeft w:val="1166"/>
          <w:marRight w:val="0"/>
          <w:marTop w:val="115"/>
          <w:marBottom w:val="58"/>
          <w:divBdr>
            <w:top w:val="none" w:sz="0" w:space="0" w:color="auto"/>
            <w:left w:val="none" w:sz="0" w:space="0" w:color="auto"/>
            <w:bottom w:val="none" w:sz="0" w:space="0" w:color="auto"/>
            <w:right w:val="none" w:sz="0" w:space="0" w:color="auto"/>
          </w:divBdr>
        </w:div>
      </w:divsChild>
    </w:div>
    <w:div w:id="918952424">
      <w:bodyDiv w:val="1"/>
      <w:marLeft w:val="0"/>
      <w:marRight w:val="0"/>
      <w:marTop w:val="0"/>
      <w:marBottom w:val="0"/>
      <w:divBdr>
        <w:top w:val="none" w:sz="0" w:space="0" w:color="auto"/>
        <w:left w:val="none" w:sz="0" w:space="0" w:color="auto"/>
        <w:bottom w:val="none" w:sz="0" w:space="0" w:color="auto"/>
        <w:right w:val="none" w:sz="0" w:space="0" w:color="auto"/>
      </w:divBdr>
    </w:div>
    <w:div w:id="934939471">
      <w:bodyDiv w:val="1"/>
      <w:marLeft w:val="0"/>
      <w:marRight w:val="0"/>
      <w:marTop w:val="0"/>
      <w:marBottom w:val="0"/>
      <w:divBdr>
        <w:top w:val="none" w:sz="0" w:space="0" w:color="auto"/>
        <w:left w:val="none" w:sz="0" w:space="0" w:color="auto"/>
        <w:bottom w:val="none" w:sz="0" w:space="0" w:color="auto"/>
        <w:right w:val="none" w:sz="0" w:space="0" w:color="auto"/>
      </w:divBdr>
    </w:div>
    <w:div w:id="935864261">
      <w:bodyDiv w:val="1"/>
      <w:marLeft w:val="0"/>
      <w:marRight w:val="0"/>
      <w:marTop w:val="0"/>
      <w:marBottom w:val="0"/>
      <w:divBdr>
        <w:top w:val="none" w:sz="0" w:space="0" w:color="auto"/>
        <w:left w:val="none" w:sz="0" w:space="0" w:color="auto"/>
        <w:bottom w:val="none" w:sz="0" w:space="0" w:color="auto"/>
        <w:right w:val="none" w:sz="0" w:space="0" w:color="auto"/>
      </w:divBdr>
    </w:div>
    <w:div w:id="963466470">
      <w:bodyDiv w:val="1"/>
      <w:marLeft w:val="0"/>
      <w:marRight w:val="0"/>
      <w:marTop w:val="0"/>
      <w:marBottom w:val="0"/>
      <w:divBdr>
        <w:top w:val="none" w:sz="0" w:space="0" w:color="auto"/>
        <w:left w:val="none" w:sz="0" w:space="0" w:color="auto"/>
        <w:bottom w:val="none" w:sz="0" w:space="0" w:color="auto"/>
        <w:right w:val="none" w:sz="0" w:space="0" w:color="auto"/>
      </w:divBdr>
      <w:divsChild>
        <w:div w:id="1310404820">
          <w:marLeft w:val="547"/>
          <w:marRight w:val="0"/>
          <w:marTop w:val="115"/>
          <w:marBottom w:val="86"/>
          <w:divBdr>
            <w:top w:val="none" w:sz="0" w:space="0" w:color="auto"/>
            <w:left w:val="none" w:sz="0" w:space="0" w:color="auto"/>
            <w:bottom w:val="none" w:sz="0" w:space="0" w:color="auto"/>
            <w:right w:val="none" w:sz="0" w:space="0" w:color="auto"/>
          </w:divBdr>
        </w:div>
        <w:div w:id="326178213">
          <w:marLeft w:val="1166"/>
          <w:marRight w:val="0"/>
          <w:marTop w:val="96"/>
          <w:marBottom w:val="48"/>
          <w:divBdr>
            <w:top w:val="none" w:sz="0" w:space="0" w:color="auto"/>
            <w:left w:val="none" w:sz="0" w:space="0" w:color="auto"/>
            <w:bottom w:val="none" w:sz="0" w:space="0" w:color="auto"/>
            <w:right w:val="none" w:sz="0" w:space="0" w:color="auto"/>
          </w:divBdr>
        </w:div>
        <w:div w:id="192429332">
          <w:marLeft w:val="1166"/>
          <w:marRight w:val="0"/>
          <w:marTop w:val="96"/>
          <w:marBottom w:val="48"/>
          <w:divBdr>
            <w:top w:val="none" w:sz="0" w:space="0" w:color="auto"/>
            <w:left w:val="none" w:sz="0" w:space="0" w:color="auto"/>
            <w:bottom w:val="none" w:sz="0" w:space="0" w:color="auto"/>
            <w:right w:val="none" w:sz="0" w:space="0" w:color="auto"/>
          </w:divBdr>
        </w:div>
        <w:div w:id="1349596378">
          <w:marLeft w:val="547"/>
          <w:marRight w:val="0"/>
          <w:marTop w:val="115"/>
          <w:marBottom w:val="86"/>
          <w:divBdr>
            <w:top w:val="none" w:sz="0" w:space="0" w:color="auto"/>
            <w:left w:val="none" w:sz="0" w:space="0" w:color="auto"/>
            <w:bottom w:val="none" w:sz="0" w:space="0" w:color="auto"/>
            <w:right w:val="none" w:sz="0" w:space="0" w:color="auto"/>
          </w:divBdr>
        </w:div>
        <w:div w:id="1305701336">
          <w:marLeft w:val="1166"/>
          <w:marRight w:val="0"/>
          <w:marTop w:val="96"/>
          <w:marBottom w:val="48"/>
          <w:divBdr>
            <w:top w:val="none" w:sz="0" w:space="0" w:color="auto"/>
            <w:left w:val="none" w:sz="0" w:space="0" w:color="auto"/>
            <w:bottom w:val="none" w:sz="0" w:space="0" w:color="auto"/>
            <w:right w:val="none" w:sz="0" w:space="0" w:color="auto"/>
          </w:divBdr>
        </w:div>
        <w:div w:id="1544631144">
          <w:marLeft w:val="1166"/>
          <w:marRight w:val="0"/>
          <w:marTop w:val="96"/>
          <w:marBottom w:val="48"/>
          <w:divBdr>
            <w:top w:val="none" w:sz="0" w:space="0" w:color="auto"/>
            <w:left w:val="none" w:sz="0" w:space="0" w:color="auto"/>
            <w:bottom w:val="none" w:sz="0" w:space="0" w:color="auto"/>
            <w:right w:val="none" w:sz="0" w:space="0" w:color="auto"/>
          </w:divBdr>
        </w:div>
        <w:div w:id="803734532">
          <w:marLeft w:val="547"/>
          <w:marRight w:val="0"/>
          <w:marTop w:val="115"/>
          <w:marBottom w:val="86"/>
          <w:divBdr>
            <w:top w:val="none" w:sz="0" w:space="0" w:color="auto"/>
            <w:left w:val="none" w:sz="0" w:space="0" w:color="auto"/>
            <w:bottom w:val="none" w:sz="0" w:space="0" w:color="auto"/>
            <w:right w:val="none" w:sz="0" w:space="0" w:color="auto"/>
          </w:divBdr>
        </w:div>
        <w:div w:id="2091342043">
          <w:marLeft w:val="547"/>
          <w:marRight w:val="0"/>
          <w:marTop w:val="115"/>
          <w:marBottom w:val="86"/>
          <w:divBdr>
            <w:top w:val="none" w:sz="0" w:space="0" w:color="auto"/>
            <w:left w:val="none" w:sz="0" w:space="0" w:color="auto"/>
            <w:bottom w:val="none" w:sz="0" w:space="0" w:color="auto"/>
            <w:right w:val="none" w:sz="0" w:space="0" w:color="auto"/>
          </w:divBdr>
        </w:div>
        <w:div w:id="1262102914">
          <w:marLeft w:val="1166"/>
          <w:marRight w:val="0"/>
          <w:marTop w:val="96"/>
          <w:marBottom w:val="48"/>
          <w:divBdr>
            <w:top w:val="none" w:sz="0" w:space="0" w:color="auto"/>
            <w:left w:val="none" w:sz="0" w:space="0" w:color="auto"/>
            <w:bottom w:val="none" w:sz="0" w:space="0" w:color="auto"/>
            <w:right w:val="none" w:sz="0" w:space="0" w:color="auto"/>
          </w:divBdr>
        </w:div>
        <w:div w:id="1680161544">
          <w:marLeft w:val="1166"/>
          <w:marRight w:val="0"/>
          <w:marTop w:val="96"/>
          <w:marBottom w:val="48"/>
          <w:divBdr>
            <w:top w:val="none" w:sz="0" w:space="0" w:color="auto"/>
            <w:left w:val="none" w:sz="0" w:space="0" w:color="auto"/>
            <w:bottom w:val="none" w:sz="0" w:space="0" w:color="auto"/>
            <w:right w:val="none" w:sz="0" w:space="0" w:color="auto"/>
          </w:divBdr>
        </w:div>
        <w:div w:id="1919094816">
          <w:marLeft w:val="1166"/>
          <w:marRight w:val="0"/>
          <w:marTop w:val="96"/>
          <w:marBottom w:val="48"/>
          <w:divBdr>
            <w:top w:val="none" w:sz="0" w:space="0" w:color="auto"/>
            <w:left w:val="none" w:sz="0" w:space="0" w:color="auto"/>
            <w:bottom w:val="none" w:sz="0" w:space="0" w:color="auto"/>
            <w:right w:val="none" w:sz="0" w:space="0" w:color="auto"/>
          </w:divBdr>
        </w:div>
      </w:divsChild>
    </w:div>
    <w:div w:id="984357613">
      <w:bodyDiv w:val="1"/>
      <w:marLeft w:val="0"/>
      <w:marRight w:val="0"/>
      <w:marTop w:val="0"/>
      <w:marBottom w:val="0"/>
      <w:divBdr>
        <w:top w:val="none" w:sz="0" w:space="0" w:color="auto"/>
        <w:left w:val="none" w:sz="0" w:space="0" w:color="auto"/>
        <w:bottom w:val="none" w:sz="0" w:space="0" w:color="auto"/>
        <w:right w:val="none" w:sz="0" w:space="0" w:color="auto"/>
      </w:divBdr>
      <w:divsChild>
        <w:div w:id="2013022818">
          <w:marLeft w:val="547"/>
          <w:marRight w:val="0"/>
          <w:marTop w:val="115"/>
          <w:marBottom w:val="86"/>
          <w:divBdr>
            <w:top w:val="none" w:sz="0" w:space="0" w:color="auto"/>
            <w:left w:val="none" w:sz="0" w:space="0" w:color="auto"/>
            <w:bottom w:val="none" w:sz="0" w:space="0" w:color="auto"/>
            <w:right w:val="none" w:sz="0" w:space="0" w:color="auto"/>
          </w:divBdr>
        </w:div>
      </w:divsChild>
    </w:div>
    <w:div w:id="993024937">
      <w:bodyDiv w:val="1"/>
      <w:marLeft w:val="0"/>
      <w:marRight w:val="0"/>
      <w:marTop w:val="0"/>
      <w:marBottom w:val="0"/>
      <w:divBdr>
        <w:top w:val="none" w:sz="0" w:space="0" w:color="auto"/>
        <w:left w:val="none" w:sz="0" w:space="0" w:color="auto"/>
        <w:bottom w:val="none" w:sz="0" w:space="0" w:color="auto"/>
        <w:right w:val="none" w:sz="0" w:space="0" w:color="auto"/>
      </w:divBdr>
    </w:div>
    <w:div w:id="1014572595">
      <w:bodyDiv w:val="1"/>
      <w:marLeft w:val="0"/>
      <w:marRight w:val="0"/>
      <w:marTop w:val="0"/>
      <w:marBottom w:val="0"/>
      <w:divBdr>
        <w:top w:val="none" w:sz="0" w:space="0" w:color="auto"/>
        <w:left w:val="none" w:sz="0" w:space="0" w:color="auto"/>
        <w:bottom w:val="none" w:sz="0" w:space="0" w:color="auto"/>
        <w:right w:val="none" w:sz="0" w:space="0" w:color="auto"/>
      </w:divBdr>
      <w:divsChild>
        <w:div w:id="1537817556">
          <w:marLeft w:val="547"/>
          <w:marRight w:val="0"/>
          <w:marTop w:val="115"/>
          <w:marBottom w:val="86"/>
          <w:divBdr>
            <w:top w:val="none" w:sz="0" w:space="0" w:color="auto"/>
            <w:left w:val="none" w:sz="0" w:space="0" w:color="auto"/>
            <w:bottom w:val="none" w:sz="0" w:space="0" w:color="auto"/>
            <w:right w:val="none" w:sz="0" w:space="0" w:color="auto"/>
          </w:divBdr>
        </w:div>
        <w:div w:id="27263456">
          <w:marLeft w:val="547"/>
          <w:marRight w:val="0"/>
          <w:marTop w:val="115"/>
          <w:marBottom w:val="86"/>
          <w:divBdr>
            <w:top w:val="none" w:sz="0" w:space="0" w:color="auto"/>
            <w:left w:val="none" w:sz="0" w:space="0" w:color="auto"/>
            <w:bottom w:val="none" w:sz="0" w:space="0" w:color="auto"/>
            <w:right w:val="none" w:sz="0" w:space="0" w:color="auto"/>
          </w:divBdr>
        </w:div>
        <w:div w:id="1509637413">
          <w:marLeft w:val="547"/>
          <w:marRight w:val="0"/>
          <w:marTop w:val="115"/>
          <w:marBottom w:val="86"/>
          <w:divBdr>
            <w:top w:val="none" w:sz="0" w:space="0" w:color="auto"/>
            <w:left w:val="none" w:sz="0" w:space="0" w:color="auto"/>
            <w:bottom w:val="none" w:sz="0" w:space="0" w:color="auto"/>
            <w:right w:val="none" w:sz="0" w:space="0" w:color="auto"/>
          </w:divBdr>
        </w:div>
      </w:divsChild>
    </w:div>
    <w:div w:id="1021276606">
      <w:bodyDiv w:val="1"/>
      <w:marLeft w:val="0"/>
      <w:marRight w:val="0"/>
      <w:marTop w:val="0"/>
      <w:marBottom w:val="0"/>
      <w:divBdr>
        <w:top w:val="none" w:sz="0" w:space="0" w:color="auto"/>
        <w:left w:val="none" w:sz="0" w:space="0" w:color="auto"/>
        <w:bottom w:val="none" w:sz="0" w:space="0" w:color="auto"/>
        <w:right w:val="none" w:sz="0" w:space="0" w:color="auto"/>
      </w:divBdr>
      <w:divsChild>
        <w:div w:id="1928689958">
          <w:marLeft w:val="547"/>
          <w:marRight w:val="0"/>
          <w:marTop w:val="115"/>
          <w:marBottom w:val="86"/>
          <w:divBdr>
            <w:top w:val="none" w:sz="0" w:space="0" w:color="auto"/>
            <w:left w:val="none" w:sz="0" w:space="0" w:color="auto"/>
            <w:bottom w:val="none" w:sz="0" w:space="0" w:color="auto"/>
            <w:right w:val="none" w:sz="0" w:space="0" w:color="auto"/>
          </w:divBdr>
        </w:div>
        <w:div w:id="492260943">
          <w:marLeft w:val="547"/>
          <w:marRight w:val="0"/>
          <w:marTop w:val="115"/>
          <w:marBottom w:val="86"/>
          <w:divBdr>
            <w:top w:val="none" w:sz="0" w:space="0" w:color="auto"/>
            <w:left w:val="none" w:sz="0" w:space="0" w:color="auto"/>
            <w:bottom w:val="none" w:sz="0" w:space="0" w:color="auto"/>
            <w:right w:val="none" w:sz="0" w:space="0" w:color="auto"/>
          </w:divBdr>
        </w:div>
        <w:div w:id="1395860360">
          <w:marLeft w:val="547"/>
          <w:marRight w:val="0"/>
          <w:marTop w:val="115"/>
          <w:marBottom w:val="86"/>
          <w:divBdr>
            <w:top w:val="none" w:sz="0" w:space="0" w:color="auto"/>
            <w:left w:val="none" w:sz="0" w:space="0" w:color="auto"/>
            <w:bottom w:val="none" w:sz="0" w:space="0" w:color="auto"/>
            <w:right w:val="none" w:sz="0" w:space="0" w:color="auto"/>
          </w:divBdr>
        </w:div>
        <w:div w:id="1714618887">
          <w:marLeft w:val="547"/>
          <w:marRight w:val="0"/>
          <w:marTop w:val="115"/>
          <w:marBottom w:val="86"/>
          <w:divBdr>
            <w:top w:val="none" w:sz="0" w:space="0" w:color="auto"/>
            <w:left w:val="none" w:sz="0" w:space="0" w:color="auto"/>
            <w:bottom w:val="none" w:sz="0" w:space="0" w:color="auto"/>
            <w:right w:val="none" w:sz="0" w:space="0" w:color="auto"/>
          </w:divBdr>
        </w:div>
      </w:divsChild>
    </w:div>
    <w:div w:id="1065760838">
      <w:bodyDiv w:val="1"/>
      <w:marLeft w:val="0"/>
      <w:marRight w:val="0"/>
      <w:marTop w:val="0"/>
      <w:marBottom w:val="0"/>
      <w:divBdr>
        <w:top w:val="none" w:sz="0" w:space="0" w:color="auto"/>
        <w:left w:val="none" w:sz="0" w:space="0" w:color="auto"/>
        <w:bottom w:val="none" w:sz="0" w:space="0" w:color="auto"/>
        <w:right w:val="none" w:sz="0" w:space="0" w:color="auto"/>
      </w:divBdr>
      <w:divsChild>
        <w:div w:id="904072768">
          <w:marLeft w:val="634"/>
          <w:marRight w:val="0"/>
          <w:marTop w:val="115"/>
          <w:marBottom w:val="86"/>
          <w:divBdr>
            <w:top w:val="none" w:sz="0" w:space="0" w:color="auto"/>
            <w:left w:val="none" w:sz="0" w:space="0" w:color="auto"/>
            <w:bottom w:val="none" w:sz="0" w:space="0" w:color="auto"/>
            <w:right w:val="none" w:sz="0" w:space="0" w:color="auto"/>
          </w:divBdr>
        </w:div>
        <w:div w:id="1057823476">
          <w:marLeft w:val="634"/>
          <w:marRight w:val="0"/>
          <w:marTop w:val="115"/>
          <w:marBottom w:val="86"/>
          <w:divBdr>
            <w:top w:val="none" w:sz="0" w:space="0" w:color="auto"/>
            <w:left w:val="none" w:sz="0" w:space="0" w:color="auto"/>
            <w:bottom w:val="none" w:sz="0" w:space="0" w:color="auto"/>
            <w:right w:val="none" w:sz="0" w:space="0" w:color="auto"/>
          </w:divBdr>
        </w:div>
        <w:div w:id="1727098853">
          <w:marLeft w:val="634"/>
          <w:marRight w:val="0"/>
          <w:marTop w:val="115"/>
          <w:marBottom w:val="86"/>
          <w:divBdr>
            <w:top w:val="none" w:sz="0" w:space="0" w:color="auto"/>
            <w:left w:val="none" w:sz="0" w:space="0" w:color="auto"/>
            <w:bottom w:val="none" w:sz="0" w:space="0" w:color="auto"/>
            <w:right w:val="none" w:sz="0" w:space="0" w:color="auto"/>
          </w:divBdr>
        </w:div>
      </w:divsChild>
    </w:div>
    <w:div w:id="1067456308">
      <w:bodyDiv w:val="1"/>
      <w:marLeft w:val="0"/>
      <w:marRight w:val="0"/>
      <w:marTop w:val="0"/>
      <w:marBottom w:val="0"/>
      <w:divBdr>
        <w:top w:val="none" w:sz="0" w:space="0" w:color="auto"/>
        <w:left w:val="none" w:sz="0" w:space="0" w:color="auto"/>
        <w:bottom w:val="none" w:sz="0" w:space="0" w:color="auto"/>
        <w:right w:val="none" w:sz="0" w:space="0" w:color="auto"/>
      </w:divBdr>
    </w:div>
    <w:div w:id="1073240135">
      <w:bodyDiv w:val="1"/>
      <w:marLeft w:val="0"/>
      <w:marRight w:val="0"/>
      <w:marTop w:val="0"/>
      <w:marBottom w:val="0"/>
      <w:divBdr>
        <w:top w:val="none" w:sz="0" w:space="0" w:color="auto"/>
        <w:left w:val="none" w:sz="0" w:space="0" w:color="auto"/>
        <w:bottom w:val="none" w:sz="0" w:space="0" w:color="auto"/>
        <w:right w:val="none" w:sz="0" w:space="0" w:color="auto"/>
      </w:divBdr>
    </w:div>
    <w:div w:id="1108812938">
      <w:bodyDiv w:val="1"/>
      <w:marLeft w:val="0"/>
      <w:marRight w:val="0"/>
      <w:marTop w:val="0"/>
      <w:marBottom w:val="0"/>
      <w:divBdr>
        <w:top w:val="none" w:sz="0" w:space="0" w:color="auto"/>
        <w:left w:val="none" w:sz="0" w:space="0" w:color="auto"/>
        <w:bottom w:val="none" w:sz="0" w:space="0" w:color="auto"/>
        <w:right w:val="none" w:sz="0" w:space="0" w:color="auto"/>
      </w:divBdr>
      <w:divsChild>
        <w:div w:id="1576667605">
          <w:marLeft w:val="547"/>
          <w:marRight w:val="0"/>
          <w:marTop w:val="115"/>
          <w:marBottom w:val="86"/>
          <w:divBdr>
            <w:top w:val="none" w:sz="0" w:space="0" w:color="auto"/>
            <w:left w:val="none" w:sz="0" w:space="0" w:color="auto"/>
            <w:bottom w:val="none" w:sz="0" w:space="0" w:color="auto"/>
            <w:right w:val="none" w:sz="0" w:space="0" w:color="auto"/>
          </w:divBdr>
        </w:div>
        <w:div w:id="1887139988">
          <w:marLeft w:val="1166"/>
          <w:marRight w:val="0"/>
          <w:marTop w:val="115"/>
          <w:marBottom w:val="58"/>
          <w:divBdr>
            <w:top w:val="none" w:sz="0" w:space="0" w:color="auto"/>
            <w:left w:val="none" w:sz="0" w:space="0" w:color="auto"/>
            <w:bottom w:val="none" w:sz="0" w:space="0" w:color="auto"/>
            <w:right w:val="none" w:sz="0" w:space="0" w:color="auto"/>
          </w:divBdr>
        </w:div>
        <w:div w:id="630522323">
          <w:marLeft w:val="1166"/>
          <w:marRight w:val="0"/>
          <w:marTop w:val="115"/>
          <w:marBottom w:val="58"/>
          <w:divBdr>
            <w:top w:val="none" w:sz="0" w:space="0" w:color="auto"/>
            <w:left w:val="none" w:sz="0" w:space="0" w:color="auto"/>
            <w:bottom w:val="none" w:sz="0" w:space="0" w:color="auto"/>
            <w:right w:val="none" w:sz="0" w:space="0" w:color="auto"/>
          </w:divBdr>
        </w:div>
        <w:div w:id="1858813177">
          <w:marLeft w:val="1166"/>
          <w:marRight w:val="0"/>
          <w:marTop w:val="115"/>
          <w:marBottom w:val="58"/>
          <w:divBdr>
            <w:top w:val="none" w:sz="0" w:space="0" w:color="auto"/>
            <w:left w:val="none" w:sz="0" w:space="0" w:color="auto"/>
            <w:bottom w:val="none" w:sz="0" w:space="0" w:color="auto"/>
            <w:right w:val="none" w:sz="0" w:space="0" w:color="auto"/>
          </w:divBdr>
        </w:div>
        <w:div w:id="998579974">
          <w:marLeft w:val="1166"/>
          <w:marRight w:val="0"/>
          <w:marTop w:val="115"/>
          <w:marBottom w:val="58"/>
          <w:divBdr>
            <w:top w:val="none" w:sz="0" w:space="0" w:color="auto"/>
            <w:left w:val="none" w:sz="0" w:space="0" w:color="auto"/>
            <w:bottom w:val="none" w:sz="0" w:space="0" w:color="auto"/>
            <w:right w:val="none" w:sz="0" w:space="0" w:color="auto"/>
          </w:divBdr>
        </w:div>
      </w:divsChild>
    </w:div>
    <w:div w:id="1208839170">
      <w:bodyDiv w:val="1"/>
      <w:marLeft w:val="0"/>
      <w:marRight w:val="0"/>
      <w:marTop w:val="0"/>
      <w:marBottom w:val="0"/>
      <w:divBdr>
        <w:top w:val="none" w:sz="0" w:space="0" w:color="auto"/>
        <w:left w:val="none" w:sz="0" w:space="0" w:color="auto"/>
        <w:bottom w:val="none" w:sz="0" w:space="0" w:color="auto"/>
        <w:right w:val="none" w:sz="0" w:space="0" w:color="auto"/>
      </w:divBdr>
      <w:divsChild>
        <w:div w:id="2102067241">
          <w:marLeft w:val="547"/>
          <w:marRight w:val="0"/>
          <w:marTop w:val="115"/>
          <w:marBottom w:val="86"/>
          <w:divBdr>
            <w:top w:val="none" w:sz="0" w:space="0" w:color="auto"/>
            <w:left w:val="none" w:sz="0" w:space="0" w:color="auto"/>
            <w:bottom w:val="none" w:sz="0" w:space="0" w:color="auto"/>
            <w:right w:val="none" w:sz="0" w:space="0" w:color="auto"/>
          </w:divBdr>
        </w:div>
        <w:div w:id="1777821028">
          <w:marLeft w:val="547"/>
          <w:marRight w:val="0"/>
          <w:marTop w:val="115"/>
          <w:marBottom w:val="86"/>
          <w:divBdr>
            <w:top w:val="none" w:sz="0" w:space="0" w:color="auto"/>
            <w:left w:val="none" w:sz="0" w:space="0" w:color="auto"/>
            <w:bottom w:val="none" w:sz="0" w:space="0" w:color="auto"/>
            <w:right w:val="none" w:sz="0" w:space="0" w:color="auto"/>
          </w:divBdr>
        </w:div>
      </w:divsChild>
    </w:div>
    <w:div w:id="1236472197">
      <w:bodyDiv w:val="1"/>
      <w:marLeft w:val="0"/>
      <w:marRight w:val="0"/>
      <w:marTop w:val="0"/>
      <w:marBottom w:val="0"/>
      <w:divBdr>
        <w:top w:val="none" w:sz="0" w:space="0" w:color="auto"/>
        <w:left w:val="none" w:sz="0" w:space="0" w:color="auto"/>
        <w:bottom w:val="none" w:sz="0" w:space="0" w:color="auto"/>
        <w:right w:val="none" w:sz="0" w:space="0" w:color="auto"/>
      </w:divBdr>
    </w:div>
    <w:div w:id="1293369206">
      <w:bodyDiv w:val="1"/>
      <w:marLeft w:val="0"/>
      <w:marRight w:val="0"/>
      <w:marTop w:val="0"/>
      <w:marBottom w:val="0"/>
      <w:divBdr>
        <w:top w:val="none" w:sz="0" w:space="0" w:color="auto"/>
        <w:left w:val="none" w:sz="0" w:space="0" w:color="auto"/>
        <w:bottom w:val="none" w:sz="0" w:space="0" w:color="auto"/>
        <w:right w:val="none" w:sz="0" w:space="0" w:color="auto"/>
      </w:divBdr>
      <w:divsChild>
        <w:div w:id="1944336267">
          <w:marLeft w:val="547"/>
          <w:marRight w:val="0"/>
          <w:marTop w:val="115"/>
          <w:marBottom w:val="86"/>
          <w:divBdr>
            <w:top w:val="none" w:sz="0" w:space="0" w:color="auto"/>
            <w:left w:val="none" w:sz="0" w:space="0" w:color="auto"/>
            <w:bottom w:val="none" w:sz="0" w:space="0" w:color="auto"/>
            <w:right w:val="none" w:sz="0" w:space="0" w:color="auto"/>
          </w:divBdr>
        </w:div>
        <w:div w:id="2102481504">
          <w:marLeft w:val="1166"/>
          <w:marRight w:val="0"/>
          <w:marTop w:val="96"/>
          <w:marBottom w:val="48"/>
          <w:divBdr>
            <w:top w:val="none" w:sz="0" w:space="0" w:color="auto"/>
            <w:left w:val="none" w:sz="0" w:space="0" w:color="auto"/>
            <w:bottom w:val="none" w:sz="0" w:space="0" w:color="auto"/>
            <w:right w:val="none" w:sz="0" w:space="0" w:color="auto"/>
          </w:divBdr>
        </w:div>
        <w:div w:id="582759138">
          <w:marLeft w:val="1166"/>
          <w:marRight w:val="0"/>
          <w:marTop w:val="96"/>
          <w:marBottom w:val="48"/>
          <w:divBdr>
            <w:top w:val="none" w:sz="0" w:space="0" w:color="auto"/>
            <w:left w:val="none" w:sz="0" w:space="0" w:color="auto"/>
            <w:bottom w:val="none" w:sz="0" w:space="0" w:color="auto"/>
            <w:right w:val="none" w:sz="0" w:space="0" w:color="auto"/>
          </w:divBdr>
        </w:div>
        <w:div w:id="716709666">
          <w:marLeft w:val="547"/>
          <w:marRight w:val="0"/>
          <w:marTop w:val="115"/>
          <w:marBottom w:val="86"/>
          <w:divBdr>
            <w:top w:val="none" w:sz="0" w:space="0" w:color="auto"/>
            <w:left w:val="none" w:sz="0" w:space="0" w:color="auto"/>
            <w:bottom w:val="none" w:sz="0" w:space="0" w:color="auto"/>
            <w:right w:val="none" w:sz="0" w:space="0" w:color="auto"/>
          </w:divBdr>
        </w:div>
        <w:div w:id="1942684767">
          <w:marLeft w:val="1166"/>
          <w:marRight w:val="0"/>
          <w:marTop w:val="96"/>
          <w:marBottom w:val="48"/>
          <w:divBdr>
            <w:top w:val="none" w:sz="0" w:space="0" w:color="auto"/>
            <w:left w:val="none" w:sz="0" w:space="0" w:color="auto"/>
            <w:bottom w:val="none" w:sz="0" w:space="0" w:color="auto"/>
            <w:right w:val="none" w:sz="0" w:space="0" w:color="auto"/>
          </w:divBdr>
        </w:div>
        <w:div w:id="1233353178">
          <w:marLeft w:val="547"/>
          <w:marRight w:val="0"/>
          <w:marTop w:val="115"/>
          <w:marBottom w:val="86"/>
          <w:divBdr>
            <w:top w:val="none" w:sz="0" w:space="0" w:color="auto"/>
            <w:left w:val="none" w:sz="0" w:space="0" w:color="auto"/>
            <w:bottom w:val="none" w:sz="0" w:space="0" w:color="auto"/>
            <w:right w:val="none" w:sz="0" w:space="0" w:color="auto"/>
          </w:divBdr>
        </w:div>
      </w:divsChild>
    </w:div>
    <w:div w:id="1302492385">
      <w:bodyDiv w:val="1"/>
      <w:marLeft w:val="0"/>
      <w:marRight w:val="0"/>
      <w:marTop w:val="0"/>
      <w:marBottom w:val="0"/>
      <w:divBdr>
        <w:top w:val="none" w:sz="0" w:space="0" w:color="auto"/>
        <w:left w:val="none" w:sz="0" w:space="0" w:color="auto"/>
        <w:bottom w:val="none" w:sz="0" w:space="0" w:color="auto"/>
        <w:right w:val="none" w:sz="0" w:space="0" w:color="auto"/>
      </w:divBdr>
    </w:div>
    <w:div w:id="1323001403">
      <w:bodyDiv w:val="1"/>
      <w:marLeft w:val="0"/>
      <w:marRight w:val="0"/>
      <w:marTop w:val="0"/>
      <w:marBottom w:val="0"/>
      <w:divBdr>
        <w:top w:val="none" w:sz="0" w:space="0" w:color="auto"/>
        <w:left w:val="none" w:sz="0" w:space="0" w:color="auto"/>
        <w:bottom w:val="none" w:sz="0" w:space="0" w:color="auto"/>
        <w:right w:val="none" w:sz="0" w:space="0" w:color="auto"/>
      </w:divBdr>
    </w:div>
    <w:div w:id="1336684481">
      <w:bodyDiv w:val="1"/>
      <w:marLeft w:val="0"/>
      <w:marRight w:val="0"/>
      <w:marTop w:val="0"/>
      <w:marBottom w:val="0"/>
      <w:divBdr>
        <w:top w:val="none" w:sz="0" w:space="0" w:color="auto"/>
        <w:left w:val="none" w:sz="0" w:space="0" w:color="auto"/>
        <w:bottom w:val="none" w:sz="0" w:space="0" w:color="auto"/>
        <w:right w:val="none" w:sz="0" w:space="0" w:color="auto"/>
      </w:divBdr>
    </w:div>
    <w:div w:id="1339042788">
      <w:bodyDiv w:val="1"/>
      <w:marLeft w:val="0"/>
      <w:marRight w:val="0"/>
      <w:marTop w:val="0"/>
      <w:marBottom w:val="0"/>
      <w:divBdr>
        <w:top w:val="none" w:sz="0" w:space="0" w:color="auto"/>
        <w:left w:val="none" w:sz="0" w:space="0" w:color="auto"/>
        <w:bottom w:val="none" w:sz="0" w:space="0" w:color="auto"/>
        <w:right w:val="none" w:sz="0" w:space="0" w:color="auto"/>
      </w:divBdr>
    </w:div>
    <w:div w:id="1342313497">
      <w:bodyDiv w:val="1"/>
      <w:marLeft w:val="0"/>
      <w:marRight w:val="0"/>
      <w:marTop w:val="0"/>
      <w:marBottom w:val="0"/>
      <w:divBdr>
        <w:top w:val="none" w:sz="0" w:space="0" w:color="auto"/>
        <w:left w:val="none" w:sz="0" w:space="0" w:color="auto"/>
        <w:bottom w:val="none" w:sz="0" w:space="0" w:color="auto"/>
        <w:right w:val="none" w:sz="0" w:space="0" w:color="auto"/>
      </w:divBdr>
      <w:divsChild>
        <w:div w:id="1475753222">
          <w:marLeft w:val="634"/>
          <w:marRight w:val="0"/>
          <w:marTop w:val="115"/>
          <w:marBottom w:val="86"/>
          <w:divBdr>
            <w:top w:val="none" w:sz="0" w:space="0" w:color="auto"/>
            <w:left w:val="none" w:sz="0" w:space="0" w:color="auto"/>
            <w:bottom w:val="none" w:sz="0" w:space="0" w:color="auto"/>
            <w:right w:val="none" w:sz="0" w:space="0" w:color="auto"/>
          </w:divBdr>
        </w:div>
        <w:div w:id="128480575">
          <w:marLeft w:val="634"/>
          <w:marRight w:val="0"/>
          <w:marTop w:val="115"/>
          <w:marBottom w:val="86"/>
          <w:divBdr>
            <w:top w:val="none" w:sz="0" w:space="0" w:color="auto"/>
            <w:left w:val="none" w:sz="0" w:space="0" w:color="auto"/>
            <w:bottom w:val="none" w:sz="0" w:space="0" w:color="auto"/>
            <w:right w:val="none" w:sz="0" w:space="0" w:color="auto"/>
          </w:divBdr>
        </w:div>
        <w:div w:id="619917632">
          <w:marLeft w:val="634"/>
          <w:marRight w:val="0"/>
          <w:marTop w:val="115"/>
          <w:marBottom w:val="86"/>
          <w:divBdr>
            <w:top w:val="none" w:sz="0" w:space="0" w:color="auto"/>
            <w:left w:val="none" w:sz="0" w:space="0" w:color="auto"/>
            <w:bottom w:val="none" w:sz="0" w:space="0" w:color="auto"/>
            <w:right w:val="none" w:sz="0" w:space="0" w:color="auto"/>
          </w:divBdr>
        </w:div>
        <w:div w:id="1749693749">
          <w:marLeft w:val="634"/>
          <w:marRight w:val="0"/>
          <w:marTop w:val="115"/>
          <w:marBottom w:val="86"/>
          <w:divBdr>
            <w:top w:val="none" w:sz="0" w:space="0" w:color="auto"/>
            <w:left w:val="none" w:sz="0" w:space="0" w:color="auto"/>
            <w:bottom w:val="none" w:sz="0" w:space="0" w:color="auto"/>
            <w:right w:val="none" w:sz="0" w:space="0" w:color="auto"/>
          </w:divBdr>
        </w:div>
      </w:divsChild>
    </w:div>
    <w:div w:id="1344895832">
      <w:bodyDiv w:val="1"/>
      <w:marLeft w:val="0"/>
      <w:marRight w:val="0"/>
      <w:marTop w:val="0"/>
      <w:marBottom w:val="0"/>
      <w:divBdr>
        <w:top w:val="none" w:sz="0" w:space="0" w:color="auto"/>
        <w:left w:val="none" w:sz="0" w:space="0" w:color="auto"/>
        <w:bottom w:val="none" w:sz="0" w:space="0" w:color="auto"/>
        <w:right w:val="none" w:sz="0" w:space="0" w:color="auto"/>
      </w:divBdr>
      <w:divsChild>
        <w:div w:id="542595089">
          <w:marLeft w:val="547"/>
          <w:marRight w:val="0"/>
          <w:marTop w:val="115"/>
          <w:marBottom w:val="86"/>
          <w:divBdr>
            <w:top w:val="none" w:sz="0" w:space="0" w:color="auto"/>
            <w:left w:val="none" w:sz="0" w:space="0" w:color="auto"/>
            <w:bottom w:val="none" w:sz="0" w:space="0" w:color="auto"/>
            <w:right w:val="none" w:sz="0" w:space="0" w:color="auto"/>
          </w:divBdr>
        </w:div>
        <w:div w:id="1462845390">
          <w:marLeft w:val="547"/>
          <w:marRight w:val="0"/>
          <w:marTop w:val="115"/>
          <w:marBottom w:val="86"/>
          <w:divBdr>
            <w:top w:val="none" w:sz="0" w:space="0" w:color="auto"/>
            <w:left w:val="none" w:sz="0" w:space="0" w:color="auto"/>
            <w:bottom w:val="none" w:sz="0" w:space="0" w:color="auto"/>
            <w:right w:val="none" w:sz="0" w:space="0" w:color="auto"/>
          </w:divBdr>
        </w:div>
        <w:div w:id="961421663">
          <w:marLeft w:val="547"/>
          <w:marRight w:val="0"/>
          <w:marTop w:val="115"/>
          <w:marBottom w:val="86"/>
          <w:divBdr>
            <w:top w:val="none" w:sz="0" w:space="0" w:color="auto"/>
            <w:left w:val="none" w:sz="0" w:space="0" w:color="auto"/>
            <w:bottom w:val="none" w:sz="0" w:space="0" w:color="auto"/>
            <w:right w:val="none" w:sz="0" w:space="0" w:color="auto"/>
          </w:divBdr>
        </w:div>
      </w:divsChild>
    </w:div>
    <w:div w:id="1347440990">
      <w:bodyDiv w:val="1"/>
      <w:marLeft w:val="0"/>
      <w:marRight w:val="0"/>
      <w:marTop w:val="0"/>
      <w:marBottom w:val="0"/>
      <w:divBdr>
        <w:top w:val="none" w:sz="0" w:space="0" w:color="auto"/>
        <w:left w:val="none" w:sz="0" w:space="0" w:color="auto"/>
        <w:bottom w:val="none" w:sz="0" w:space="0" w:color="auto"/>
        <w:right w:val="none" w:sz="0" w:space="0" w:color="auto"/>
      </w:divBdr>
    </w:div>
    <w:div w:id="1380592067">
      <w:bodyDiv w:val="1"/>
      <w:marLeft w:val="0"/>
      <w:marRight w:val="0"/>
      <w:marTop w:val="0"/>
      <w:marBottom w:val="0"/>
      <w:divBdr>
        <w:top w:val="none" w:sz="0" w:space="0" w:color="auto"/>
        <w:left w:val="none" w:sz="0" w:space="0" w:color="auto"/>
        <w:bottom w:val="none" w:sz="0" w:space="0" w:color="auto"/>
        <w:right w:val="none" w:sz="0" w:space="0" w:color="auto"/>
      </w:divBdr>
    </w:div>
    <w:div w:id="1390492584">
      <w:bodyDiv w:val="1"/>
      <w:marLeft w:val="0"/>
      <w:marRight w:val="0"/>
      <w:marTop w:val="0"/>
      <w:marBottom w:val="0"/>
      <w:divBdr>
        <w:top w:val="none" w:sz="0" w:space="0" w:color="auto"/>
        <w:left w:val="none" w:sz="0" w:space="0" w:color="auto"/>
        <w:bottom w:val="none" w:sz="0" w:space="0" w:color="auto"/>
        <w:right w:val="none" w:sz="0" w:space="0" w:color="auto"/>
      </w:divBdr>
      <w:divsChild>
        <w:div w:id="2111121247">
          <w:marLeft w:val="1166"/>
          <w:marRight w:val="0"/>
          <w:marTop w:val="115"/>
          <w:marBottom w:val="58"/>
          <w:divBdr>
            <w:top w:val="none" w:sz="0" w:space="0" w:color="auto"/>
            <w:left w:val="none" w:sz="0" w:space="0" w:color="auto"/>
            <w:bottom w:val="none" w:sz="0" w:space="0" w:color="auto"/>
            <w:right w:val="none" w:sz="0" w:space="0" w:color="auto"/>
          </w:divBdr>
        </w:div>
        <w:div w:id="1956137888">
          <w:marLeft w:val="1166"/>
          <w:marRight w:val="0"/>
          <w:marTop w:val="115"/>
          <w:marBottom w:val="58"/>
          <w:divBdr>
            <w:top w:val="none" w:sz="0" w:space="0" w:color="auto"/>
            <w:left w:val="none" w:sz="0" w:space="0" w:color="auto"/>
            <w:bottom w:val="none" w:sz="0" w:space="0" w:color="auto"/>
            <w:right w:val="none" w:sz="0" w:space="0" w:color="auto"/>
          </w:divBdr>
        </w:div>
        <w:div w:id="970093727">
          <w:marLeft w:val="1166"/>
          <w:marRight w:val="0"/>
          <w:marTop w:val="115"/>
          <w:marBottom w:val="58"/>
          <w:divBdr>
            <w:top w:val="none" w:sz="0" w:space="0" w:color="auto"/>
            <w:left w:val="none" w:sz="0" w:space="0" w:color="auto"/>
            <w:bottom w:val="none" w:sz="0" w:space="0" w:color="auto"/>
            <w:right w:val="none" w:sz="0" w:space="0" w:color="auto"/>
          </w:divBdr>
        </w:div>
        <w:div w:id="4867424">
          <w:marLeft w:val="1166"/>
          <w:marRight w:val="0"/>
          <w:marTop w:val="115"/>
          <w:marBottom w:val="58"/>
          <w:divBdr>
            <w:top w:val="none" w:sz="0" w:space="0" w:color="auto"/>
            <w:left w:val="none" w:sz="0" w:space="0" w:color="auto"/>
            <w:bottom w:val="none" w:sz="0" w:space="0" w:color="auto"/>
            <w:right w:val="none" w:sz="0" w:space="0" w:color="auto"/>
          </w:divBdr>
        </w:div>
        <w:div w:id="911966106">
          <w:marLeft w:val="1166"/>
          <w:marRight w:val="0"/>
          <w:marTop w:val="115"/>
          <w:marBottom w:val="58"/>
          <w:divBdr>
            <w:top w:val="none" w:sz="0" w:space="0" w:color="auto"/>
            <w:left w:val="none" w:sz="0" w:space="0" w:color="auto"/>
            <w:bottom w:val="none" w:sz="0" w:space="0" w:color="auto"/>
            <w:right w:val="none" w:sz="0" w:space="0" w:color="auto"/>
          </w:divBdr>
        </w:div>
      </w:divsChild>
    </w:div>
    <w:div w:id="1410424243">
      <w:bodyDiv w:val="1"/>
      <w:marLeft w:val="0"/>
      <w:marRight w:val="0"/>
      <w:marTop w:val="0"/>
      <w:marBottom w:val="0"/>
      <w:divBdr>
        <w:top w:val="none" w:sz="0" w:space="0" w:color="auto"/>
        <w:left w:val="none" w:sz="0" w:space="0" w:color="auto"/>
        <w:bottom w:val="none" w:sz="0" w:space="0" w:color="auto"/>
        <w:right w:val="none" w:sz="0" w:space="0" w:color="auto"/>
      </w:divBdr>
      <w:divsChild>
        <w:div w:id="1261991000">
          <w:marLeft w:val="547"/>
          <w:marRight w:val="0"/>
          <w:marTop w:val="115"/>
          <w:marBottom w:val="86"/>
          <w:divBdr>
            <w:top w:val="none" w:sz="0" w:space="0" w:color="auto"/>
            <w:left w:val="none" w:sz="0" w:space="0" w:color="auto"/>
            <w:bottom w:val="none" w:sz="0" w:space="0" w:color="auto"/>
            <w:right w:val="none" w:sz="0" w:space="0" w:color="auto"/>
          </w:divBdr>
        </w:div>
        <w:div w:id="1801411204">
          <w:marLeft w:val="1166"/>
          <w:marRight w:val="0"/>
          <w:marTop w:val="115"/>
          <w:marBottom w:val="58"/>
          <w:divBdr>
            <w:top w:val="none" w:sz="0" w:space="0" w:color="auto"/>
            <w:left w:val="none" w:sz="0" w:space="0" w:color="auto"/>
            <w:bottom w:val="none" w:sz="0" w:space="0" w:color="auto"/>
            <w:right w:val="none" w:sz="0" w:space="0" w:color="auto"/>
          </w:divBdr>
        </w:div>
        <w:div w:id="585506063">
          <w:marLeft w:val="1166"/>
          <w:marRight w:val="0"/>
          <w:marTop w:val="115"/>
          <w:marBottom w:val="58"/>
          <w:divBdr>
            <w:top w:val="none" w:sz="0" w:space="0" w:color="auto"/>
            <w:left w:val="none" w:sz="0" w:space="0" w:color="auto"/>
            <w:bottom w:val="none" w:sz="0" w:space="0" w:color="auto"/>
            <w:right w:val="none" w:sz="0" w:space="0" w:color="auto"/>
          </w:divBdr>
        </w:div>
        <w:div w:id="1484274057">
          <w:marLeft w:val="1166"/>
          <w:marRight w:val="0"/>
          <w:marTop w:val="115"/>
          <w:marBottom w:val="58"/>
          <w:divBdr>
            <w:top w:val="none" w:sz="0" w:space="0" w:color="auto"/>
            <w:left w:val="none" w:sz="0" w:space="0" w:color="auto"/>
            <w:bottom w:val="none" w:sz="0" w:space="0" w:color="auto"/>
            <w:right w:val="none" w:sz="0" w:space="0" w:color="auto"/>
          </w:divBdr>
        </w:div>
        <w:div w:id="266232341">
          <w:marLeft w:val="1166"/>
          <w:marRight w:val="0"/>
          <w:marTop w:val="115"/>
          <w:marBottom w:val="58"/>
          <w:divBdr>
            <w:top w:val="none" w:sz="0" w:space="0" w:color="auto"/>
            <w:left w:val="none" w:sz="0" w:space="0" w:color="auto"/>
            <w:bottom w:val="none" w:sz="0" w:space="0" w:color="auto"/>
            <w:right w:val="none" w:sz="0" w:space="0" w:color="auto"/>
          </w:divBdr>
        </w:div>
      </w:divsChild>
    </w:div>
    <w:div w:id="1420714658">
      <w:bodyDiv w:val="1"/>
      <w:marLeft w:val="0"/>
      <w:marRight w:val="0"/>
      <w:marTop w:val="0"/>
      <w:marBottom w:val="0"/>
      <w:divBdr>
        <w:top w:val="none" w:sz="0" w:space="0" w:color="auto"/>
        <w:left w:val="none" w:sz="0" w:space="0" w:color="auto"/>
        <w:bottom w:val="none" w:sz="0" w:space="0" w:color="auto"/>
        <w:right w:val="none" w:sz="0" w:space="0" w:color="auto"/>
      </w:divBdr>
    </w:div>
    <w:div w:id="1443721013">
      <w:bodyDiv w:val="1"/>
      <w:marLeft w:val="0"/>
      <w:marRight w:val="0"/>
      <w:marTop w:val="0"/>
      <w:marBottom w:val="0"/>
      <w:divBdr>
        <w:top w:val="none" w:sz="0" w:space="0" w:color="auto"/>
        <w:left w:val="none" w:sz="0" w:space="0" w:color="auto"/>
        <w:bottom w:val="none" w:sz="0" w:space="0" w:color="auto"/>
        <w:right w:val="none" w:sz="0" w:space="0" w:color="auto"/>
      </w:divBdr>
    </w:div>
    <w:div w:id="1475873194">
      <w:bodyDiv w:val="1"/>
      <w:marLeft w:val="0"/>
      <w:marRight w:val="0"/>
      <w:marTop w:val="0"/>
      <w:marBottom w:val="0"/>
      <w:divBdr>
        <w:top w:val="none" w:sz="0" w:space="0" w:color="auto"/>
        <w:left w:val="none" w:sz="0" w:space="0" w:color="auto"/>
        <w:bottom w:val="none" w:sz="0" w:space="0" w:color="auto"/>
        <w:right w:val="none" w:sz="0" w:space="0" w:color="auto"/>
      </w:divBdr>
    </w:div>
    <w:div w:id="1480725902">
      <w:bodyDiv w:val="1"/>
      <w:marLeft w:val="0"/>
      <w:marRight w:val="0"/>
      <w:marTop w:val="0"/>
      <w:marBottom w:val="0"/>
      <w:divBdr>
        <w:top w:val="none" w:sz="0" w:space="0" w:color="auto"/>
        <w:left w:val="none" w:sz="0" w:space="0" w:color="auto"/>
        <w:bottom w:val="none" w:sz="0" w:space="0" w:color="auto"/>
        <w:right w:val="none" w:sz="0" w:space="0" w:color="auto"/>
      </w:divBdr>
      <w:divsChild>
        <w:div w:id="1176848364">
          <w:marLeft w:val="547"/>
          <w:marRight w:val="0"/>
          <w:marTop w:val="86"/>
          <w:marBottom w:val="65"/>
          <w:divBdr>
            <w:top w:val="none" w:sz="0" w:space="0" w:color="auto"/>
            <w:left w:val="none" w:sz="0" w:space="0" w:color="auto"/>
            <w:bottom w:val="none" w:sz="0" w:space="0" w:color="auto"/>
            <w:right w:val="none" w:sz="0" w:space="0" w:color="auto"/>
          </w:divBdr>
        </w:div>
        <w:div w:id="1230505569">
          <w:marLeft w:val="547"/>
          <w:marRight w:val="0"/>
          <w:marTop w:val="86"/>
          <w:marBottom w:val="65"/>
          <w:divBdr>
            <w:top w:val="none" w:sz="0" w:space="0" w:color="auto"/>
            <w:left w:val="none" w:sz="0" w:space="0" w:color="auto"/>
            <w:bottom w:val="none" w:sz="0" w:space="0" w:color="auto"/>
            <w:right w:val="none" w:sz="0" w:space="0" w:color="auto"/>
          </w:divBdr>
        </w:div>
        <w:div w:id="1651787843">
          <w:marLeft w:val="547"/>
          <w:marRight w:val="0"/>
          <w:marTop w:val="86"/>
          <w:marBottom w:val="65"/>
          <w:divBdr>
            <w:top w:val="none" w:sz="0" w:space="0" w:color="auto"/>
            <w:left w:val="none" w:sz="0" w:space="0" w:color="auto"/>
            <w:bottom w:val="none" w:sz="0" w:space="0" w:color="auto"/>
            <w:right w:val="none" w:sz="0" w:space="0" w:color="auto"/>
          </w:divBdr>
        </w:div>
      </w:divsChild>
    </w:div>
    <w:div w:id="1498767813">
      <w:bodyDiv w:val="1"/>
      <w:marLeft w:val="0"/>
      <w:marRight w:val="0"/>
      <w:marTop w:val="0"/>
      <w:marBottom w:val="0"/>
      <w:divBdr>
        <w:top w:val="none" w:sz="0" w:space="0" w:color="auto"/>
        <w:left w:val="none" w:sz="0" w:space="0" w:color="auto"/>
        <w:bottom w:val="none" w:sz="0" w:space="0" w:color="auto"/>
        <w:right w:val="none" w:sz="0" w:space="0" w:color="auto"/>
      </w:divBdr>
    </w:div>
    <w:div w:id="1507282231">
      <w:bodyDiv w:val="1"/>
      <w:marLeft w:val="0"/>
      <w:marRight w:val="0"/>
      <w:marTop w:val="0"/>
      <w:marBottom w:val="0"/>
      <w:divBdr>
        <w:top w:val="none" w:sz="0" w:space="0" w:color="auto"/>
        <w:left w:val="none" w:sz="0" w:space="0" w:color="auto"/>
        <w:bottom w:val="none" w:sz="0" w:space="0" w:color="auto"/>
        <w:right w:val="none" w:sz="0" w:space="0" w:color="auto"/>
      </w:divBdr>
      <w:divsChild>
        <w:div w:id="526870279">
          <w:marLeft w:val="547"/>
          <w:marRight w:val="0"/>
          <w:marTop w:val="115"/>
          <w:marBottom w:val="86"/>
          <w:divBdr>
            <w:top w:val="none" w:sz="0" w:space="0" w:color="auto"/>
            <w:left w:val="none" w:sz="0" w:space="0" w:color="auto"/>
            <w:bottom w:val="none" w:sz="0" w:space="0" w:color="auto"/>
            <w:right w:val="none" w:sz="0" w:space="0" w:color="auto"/>
          </w:divBdr>
        </w:div>
        <w:div w:id="1475217810">
          <w:marLeft w:val="547"/>
          <w:marRight w:val="0"/>
          <w:marTop w:val="115"/>
          <w:marBottom w:val="86"/>
          <w:divBdr>
            <w:top w:val="none" w:sz="0" w:space="0" w:color="auto"/>
            <w:left w:val="none" w:sz="0" w:space="0" w:color="auto"/>
            <w:bottom w:val="none" w:sz="0" w:space="0" w:color="auto"/>
            <w:right w:val="none" w:sz="0" w:space="0" w:color="auto"/>
          </w:divBdr>
        </w:div>
        <w:div w:id="1272204943">
          <w:marLeft w:val="547"/>
          <w:marRight w:val="0"/>
          <w:marTop w:val="115"/>
          <w:marBottom w:val="86"/>
          <w:divBdr>
            <w:top w:val="none" w:sz="0" w:space="0" w:color="auto"/>
            <w:left w:val="none" w:sz="0" w:space="0" w:color="auto"/>
            <w:bottom w:val="none" w:sz="0" w:space="0" w:color="auto"/>
            <w:right w:val="none" w:sz="0" w:space="0" w:color="auto"/>
          </w:divBdr>
        </w:div>
        <w:div w:id="582181060">
          <w:marLeft w:val="547"/>
          <w:marRight w:val="0"/>
          <w:marTop w:val="115"/>
          <w:marBottom w:val="86"/>
          <w:divBdr>
            <w:top w:val="none" w:sz="0" w:space="0" w:color="auto"/>
            <w:left w:val="none" w:sz="0" w:space="0" w:color="auto"/>
            <w:bottom w:val="none" w:sz="0" w:space="0" w:color="auto"/>
            <w:right w:val="none" w:sz="0" w:space="0" w:color="auto"/>
          </w:divBdr>
        </w:div>
      </w:divsChild>
    </w:div>
    <w:div w:id="1517160678">
      <w:bodyDiv w:val="1"/>
      <w:marLeft w:val="0"/>
      <w:marRight w:val="0"/>
      <w:marTop w:val="0"/>
      <w:marBottom w:val="0"/>
      <w:divBdr>
        <w:top w:val="none" w:sz="0" w:space="0" w:color="auto"/>
        <w:left w:val="none" w:sz="0" w:space="0" w:color="auto"/>
        <w:bottom w:val="none" w:sz="0" w:space="0" w:color="auto"/>
        <w:right w:val="none" w:sz="0" w:space="0" w:color="auto"/>
      </w:divBdr>
      <w:divsChild>
        <w:div w:id="1973359959">
          <w:marLeft w:val="547"/>
          <w:marRight w:val="0"/>
          <w:marTop w:val="115"/>
          <w:marBottom w:val="86"/>
          <w:divBdr>
            <w:top w:val="none" w:sz="0" w:space="0" w:color="auto"/>
            <w:left w:val="none" w:sz="0" w:space="0" w:color="auto"/>
            <w:bottom w:val="none" w:sz="0" w:space="0" w:color="auto"/>
            <w:right w:val="none" w:sz="0" w:space="0" w:color="auto"/>
          </w:divBdr>
        </w:div>
        <w:div w:id="1331174338">
          <w:marLeft w:val="547"/>
          <w:marRight w:val="0"/>
          <w:marTop w:val="115"/>
          <w:marBottom w:val="86"/>
          <w:divBdr>
            <w:top w:val="none" w:sz="0" w:space="0" w:color="auto"/>
            <w:left w:val="none" w:sz="0" w:space="0" w:color="auto"/>
            <w:bottom w:val="none" w:sz="0" w:space="0" w:color="auto"/>
            <w:right w:val="none" w:sz="0" w:space="0" w:color="auto"/>
          </w:divBdr>
        </w:div>
        <w:div w:id="370303705">
          <w:marLeft w:val="547"/>
          <w:marRight w:val="0"/>
          <w:marTop w:val="115"/>
          <w:marBottom w:val="86"/>
          <w:divBdr>
            <w:top w:val="none" w:sz="0" w:space="0" w:color="auto"/>
            <w:left w:val="none" w:sz="0" w:space="0" w:color="auto"/>
            <w:bottom w:val="none" w:sz="0" w:space="0" w:color="auto"/>
            <w:right w:val="none" w:sz="0" w:space="0" w:color="auto"/>
          </w:divBdr>
        </w:div>
        <w:div w:id="1236935181">
          <w:marLeft w:val="547"/>
          <w:marRight w:val="0"/>
          <w:marTop w:val="115"/>
          <w:marBottom w:val="86"/>
          <w:divBdr>
            <w:top w:val="none" w:sz="0" w:space="0" w:color="auto"/>
            <w:left w:val="none" w:sz="0" w:space="0" w:color="auto"/>
            <w:bottom w:val="none" w:sz="0" w:space="0" w:color="auto"/>
            <w:right w:val="none" w:sz="0" w:space="0" w:color="auto"/>
          </w:divBdr>
        </w:div>
      </w:divsChild>
    </w:div>
    <w:div w:id="1541360905">
      <w:bodyDiv w:val="1"/>
      <w:marLeft w:val="0"/>
      <w:marRight w:val="0"/>
      <w:marTop w:val="0"/>
      <w:marBottom w:val="0"/>
      <w:divBdr>
        <w:top w:val="none" w:sz="0" w:space="0" w:color="auto"/>
        <w:left w:val="none" w:sz="0" w:space="0" w:color="auto"/>
        <w:bottom w:val="none" w:sz="0" w:space="0" w:color="auto"/>
        <w:right w:val="none" w:sz="0" w:space="0" w:color="auto"/>
      </w:divBdr>
      <w:divsChild>
        <w:div w:id="1613635377">
          <w:marLeft w:val="547"/>
          <w:marRight w:val="0"/>
          <w:marTop w:val="115"/>
          <w:marBottom w:val="86"/>
          <w:divBdr>
            <w:top w:val="none" w:sz="0" w:space="0" w:color="auto"/>
            <w:left w:val="none" w:sz="0" w:space="0" w:color="auto"/>
            <w:bottom w:val="none" w:sz="0" w:space="0" w:color="auto"/>
            <w:right w:val="none" w:sz="0" w:space="0" w:color="auto"/>
          </w:divBdr>
        </w:div>
        <w:div w:id="2034450693">
          <w:marLeft w:val="1166"/>
          <w:marRight w:val="0"/>
          <w:marTop w:val="96"/>
          <w:marBottom w:val="48"/>
          <w:divBdr>
            <w:top w:val="none" w:sz="0" w:space="0" w:color="auto"/>
            <w:left w:val="none" w:sz="0" w:space="0" w:color="auto"/>
            <w:bottom w:val="none" w:sz="0" w:space="0" w:color="auto"/>
            <w:right w:val="none" w:sz="0" w:space="0" w:color="auto"/>
          </w:divBdr>
        </w:div>
        <w:div w:id="1839418954">
          <w:marLeft w:val="1166"/>
          <w:marRight w:val="0"/>
          <w:marTop w:val="96"/>
          <w:marBottom w:val="48"/>
          <w:divBdr>
            <w:top w:val="none" w:sz="0" w:space="0" w:color="auto"/>
            <w:left w:val="none" w:sz="0" w:space="0" w:color="auto"/>
            <w:bottom w:val="none" w:sz="0" w:space="0" w:color="auto"/>
            <w:right w:val="none" w:sz="0" w:space="0" w:color="auto"/>
          </w:divBdr>
        </w:div>
        <w:div w:id="116215876">
          <w:marLeft w:val="547"/>
          <w:marRight w:val="0"/>
          <w:marTop w:val="115"/>
          <w:marBottom w:val="86"/>
          <w:divBdr>
            <w:top w:val="none" w:sz="0" w:space="0" w:color="auto"/>
            <w:left w:val="none" w:sz="0" w:space="0" w:color="auto"/>
            <w:bottom w:val="none" w:sz="0" w:space="0" w:color="auto"/>
            <w:right w:val="none" w:sz="0" w:space="0" w:color="auto"/>
          </w:divBdr>
        </w:div>
        <w:div w:id="141314354">
          <w:marLeft w:val="1166"/>
          <w:marRight w:val="0"/>
          <w:marTop w:val="96"/>
          <w:marBottom w:val="48"/>
          <w:divBdr>
            <w:top w:val="none" w:sz="0" w:space="0" w:color="auto"/>
            <w:left w:val="none" w:sz="0" w:space="0" w:color="auto"/>
            <w:bottom w:val="none" w:sz="0" w:space="0" w:color="auto"/>
            <w:right w:val="none" w:sz="0" w:space="0" w:color="auto"/>
          </w:divBdr>
        </w:div>
        <w:div w:id="42146189">
          <w:marLeft w:val="1166"/>
          <w:marRight w:val="0"/>
          <w:marTop w:val="96"/>
          <w:marBottom w:val="48"/>
          <w:divBdr>
            <w:top w:val="none" w:sz="0" w:space="0" w:color="auto"/>
            <w:left w:val="none" w:sz="0" w:space="0" w:color="auto"/>
            <w:bottom w:val="none" w:sz="0" w:space="0" w:color="auto"/>
            <w:right w:val="none" w:sz="0" w:space="0" w:color="auto"/>
          </w:divBdr>
        </w:div>
        <w:div w:id="564531875">
          <w:marLeft w:val="547"/>
          <w:marRight w:val="0"/>
          <w:marTop w:val="115"/>
          <w:marBottom w:val="86"/>
          <w:divBdr>
            <w:top w:val="none" w:sz="0" w:space="0" w:color="auto"/>
            <w:left w:val="none" w:sz="0" w:space="0" w:color="auto"/>
            <w:bottom w:val="none" w:sz="0" w:space="0" w:color="auto"/>
            <w:right w:val="none" w:sz="0" w:space="0" w:color="auto"/>
          </w:divBdr>
        </w:div>
        <w:div w:id="1467970049">
          <w:marLeft w:val="547"/>
          <w:marRight w:val="0"/>
          <w:marTop w:val="115"/>
          <w:marBottom w:val="86"/>
          <w:divBdr>
            <w:top w:val="none" w:sz="0" w:space="0" w:color="auto"/>
            <w:left w:val="none" w:sz="0" w:space="0" w:color="auto"/>
            <w:bottom w:val="none" w:sz="0" w:space="0" w:color="auto"/>
            <w:right w:val="none" w:sz="0" w:space="0" w:color="auto"/>
          </w:divBdr>
        </w:div>
        <w:div w:id="1803620095">
          <w:marLeft w:val="1166"/>
          <w:marRight w:val="0"/>
          <w:marTop w:val="96"/>
          <w:marBottom w:val="48"/>
          <w:divBdr>
            <w:top w:val="none" w:sz="0" w:space="0" w:color="auto"/>
            <w:left w:val="none" w:sz="0" w:space="0" w:color="auto"/>
            <w:bottom w:val="none" w:sz="0" w:space="0" w:color="auto"/>
            <w:right w:val="none" w:sz="0" w:space="0" w:color="auto"/>
          </w:divBdr>
        </w:div>
        <w:div w:id="385566564">
          <w:marLeft w:val="1166"/>
          <w:marRight w:val="0"/>
          <w:marTop w:val="96"/>
          <w:marBottom w:val="48"/>
          <w:divBdr>
            <w:top w:val="none" w:sz="0" w:space="0" w:color="auto"/>
            <w:left w:val="none" w:sz="0" w:space="0" w:color="auto"/>
            <w:bottom w:val="none" w:sz="0" w:space="0" w:color="auto"/>
            <w:right w:val="none" w:sz="0" w:space="0" w:color="auto"/>
          </w:divBdr>
        </w:div>
      </w:divsChild>
    </w:div>
    <w:div w:id="1572042954">
      <w:bodyDiv w:val="1"/>
      <w:marLeft w:val="0"/>
      <w:marRight w:val="0"/>
      <w:marTop w:val="0"/>
      <w:marBottom w:val="0"/>
      <w:divBdr>
        <w:top w:val="none" w:sz="0" w:space="0" w:color="auto"/>
        <w:left w:val="none" w:sz="0" w:space="0" w:color="auto"/>
        <w:bottom w:val="none" w:sz="0" w:space="0" w:color="auto"/>
        <w:right w:val="none" w:sz="0" w:space="0" w:color="auto"/>
      </w:divBdr>
      <w:divsChild>
        <w:div w:id="1797092629">
          <w:marLeft w:val="1166"/>
          <w:marRight w:val="0"/>
          <w:marTop w:val="115"/>
          <w:marBottom w:val="58"/>
          <w:divBdr>
            <w:top w:val="none" w:sz="0" w:space="0" w:color="auto"/>
            <w:left w:val="none" w:sz="0" w:space="0" w:color="auto"/>
            <w:bottom w:val="none" w:sz="0" w:space="0" w:color="auto"/>
            <w:right w:val="none" w:sz="0" w:space="0" w:color="auto"/>
          </w:divBdr>
        </w:div>
      </w:divsChild>
    </w:div>
    <w:div w:id="1743410173">
      <w:bodyDiv w:val="1"/>
      <w:marLeft w:val="0"/>
      <w:marRight w:val="0"/>
      <w:marTop w:val="0"/>
      <w:marBottom w:val="0"/>
      <w:divBdr>
        <w:top w:val="none" w:sz="0" w:space="0" w:color="auto"/>
        <w:left w:val="none" w:sz="0" w:space="0" w:color="auto"/>
        <w:bottom w:val="none" w:sz="0" w:space="0" w:color="auto"/>
        <w:right w:val="none" w:sz="0" w:space="0" w:color="auto"/>
      </w:divBdr>
    </w:div>
    <w:div w:id="1748453230">
      <w:bodyDiv w:val="1"/>
      <w:marLeft w:val="0"/>
      <w:marRight w:val="0"/>
      <w:marTop w:val="0"/>
      <w:marBottom w:val="0"/>
      <w:divBdr>
        <w:top w:val="none" w:sz="0" w:space="0" w:color="auto"/>
        <w:left w:val="none" w:sz="0" w:space="0" w:color="auto"/>
        <w:bottom w:val="none" w:sz="0" w:space="0" w:color="auto"/>
        <w:right w:val="none" w:sz="0" w:space="0" w:color="auto"/>
      </w:divBdr>
    </w:div>
    <w:div w:id="1812364737">
      <w:bodyDiv w:val="1"/>
      <w:marLeft w:val="0"/>
      <w:marRight w:val="0"/>
      <w:marTop w:val="0"/>
      <w:marBottom w:val="0"/>
      <w:divBdr>
        <w:top w:val="none" w:sz="0" w:space="0" w:color="auto"/>
        <w:left w:val="none" w:sz="0" w:space="0" w:color="auto"/>
        <w:bottom w:val="none" w:sz="0" w:space="0" w:color="auto"/>
        <w:right w:val="none" w:sz="0" w:space="0" w:color="auto"/>
      </w:divBdr>
    </w:div>
    <w:div w:id="1826819992">
      <w:bodyDiv w:val="1"/>
      <w:marLeft w:val="0"/>
      <w:marRight w:val="0"/>
      <w:marTop w:val="0"/>
      <w:marBottom w:val="0"/>
      <w:divBdr>
        <w:top w:val="none" w:sz="0" w:space="0" w:color="auto"/>
        <w:left w:val="none" w:sz="0" w:space="0" w:color="auto"/>
        <w:bottom w:val="none" w:sz="0" w:space="0" w:color="auto"/>
        <w:right w:val="none" w:sz="0" w:space="0" w:color="auto"/>
      </w:divBdr>
      <w:divsChild>
        <w:div w:id="309021425">
          <w:marLeft w:val="547"/>
          <w:marRight w:val="0"/>
          <w:marTop w:val="96"/>
          <w:marBottom w:val="72"/>
          <w:divBdr>
            <w:top w:val="none" w:sz="0" w:space="0" w:color="auto"/>
            <w:left w:val="none" w:sz="0" w:space="0" w:color="auto"/>
            <w:bottom w:val="none" w:sz="0" w:space="0" w:color="auto"/>
            <w:right w:val="none" w:sz="0" w:space="0" w:color="auto"/>
          </w:divBdr>
        </w:div>
        <w:div w:id="905990456">
          <w:marLeft w:val="547"/>
          <w:marRight w:val="0"/>
          <w:marTop w:val="96"/>
          <w:marBottom w:val="72"/>
          <w:divBdr>
            <w:top w:val="none" w:sz="0" w:space="0" w:color="auto"/>
            <w:left w:val="none" w:sz="0" w:space="0" w:color="auto"/>
            <w:bottom w:val="none" w:sz="0" w:space="0" w:color="auto"/>
            <w:right w:val="none" w:sz="0" w:space="0" w:color="auto"/>
          </w:divBdr>
        </w:div>
      </w:divsChild>
    </w:div>
    <w:div w:id="1833327209">
      <w:bodyDiv w:val="1"/>
      <w:marLeft w:val="0"/>
      <w:marRight w:val="0"/>
      <w:marTop w:val="0"/>
      <w:marBottom w:val="0"/>
      <w:divBdr>
        <w:top w:val="none" w:sz="0" w:space="0" w:color="auto"/>
        <w:left w:val="none" w:sz="0" w:space="0" w:color="auto"/>
        <w:bottom w:val="none" w:sz="0" w:space="0" w:color="auto"/>
        <w:right w:val="none" w:sz="0" w:space="0" w:color="auto"/>
      </w:divBdr>
      <w:divsChild>
        <w:div w:id="1075204851">
          <w:marLeft w:val="547"/>
          <w:marRight w:val="0"/>
          <w:marTop w:val="115"/>
          <w:marBottom w:val="86"/>
          <w:divBdr>
            <w:top w:val="none" w:sz="0" w:space="0" w:color="auto"/>
            <w:left w:val="none" w:sz="0" w:space="0" w:color="auto"/>
            <w:bottom w:val="none" w:sz="0" w:space="0" w:color="auto"/>
            <w:right w:val="none" w:sz="0" w:space="0" w:color="auto"/>
          </w:divBdr>
        </w:div>
        <w:div w:id="1386635841">
          <w:marLeft w:val="547"/>
          <w:marRight w:val="0"/>
          <w:marTop w:val="115"/>
          <w:marBottom w:val="86"/>
          <w:divBdr>
            <w:top w:val="none" w:sz="0" w:space="0" w:color="auto"/>
            <w:left w:val="none" w:sz="0" w:space="0" w:color="auto"/>
            <w:bottom w:val="none" w:sz="0" w:space="0" w:color="auto"/>
            <w:right w:val="none" w:sz="0" w:space="0" w:color="auto"/>
          </w:divBdr>
        </w:div>
      </w:divsChild>
    </w:div>
    <w:div w:id="1894543439">
      <w:bodyDiv w:val="1"/>
      <w:marLeft w:val="0"/>
      <w:marRight w:val="0"/>
      <w:marTop w:val="0"/>
      <w:marBottom w:val="0"/>
      <w:divBdr>
        <w:top w:val="none" w:sz="0" w:space="0" w:color="auto"/>
        <w:left w:val="none" w:sz="0" w:space="0" w:color="auto"/>
        <w:bottom w:val="none" w:sz="0" w:space="0" w:color="auto"/>
        <w:right w:val="none" w:sz="0" w:space="0" w:color="auto"/>
      </w:divBdr>
    </w:div>
    <w:div w:id="1919317317">
      <w:bodyDiv w:val="1"/>
      <w:marLeft w:val="0"/>
      <w:marRight w:val="0"/>
      <w:marTop w:val="0"/>
      <w:marBottom w:val="0"/>
      <w:divBdr>
        <w:top w:val="none" w:sz="0" w:space="0" w:color="auto"/>
        <w:left w:val="none" w:sz="0" w:space="0" w:color="auto"/>
        <w:bottom w:val="none" w:sz="0" w:space="0" w:color="auto"/>
        <w:right w:val="none" w:sz="0" w:space="0" w:color="auto"/>
      </w:divBdr>
      <w:divsChild>
        <w:div w:id="1659535288">
          <w:marLeft w:val="547"/>
          <w:marRight w:val="0"/>
          <w:marTop w:val="115"/>
          <w:marBottom w:val="86"/>
          <w:divBdr>
            <w:top w:val="none" w:sz="0" w:space="0" w:color="auto"/>
            <w:left w:val="none" w:sz="0" w:space="0" w:color="auto"/>
            <w:bottom w:val="none" w:sz="0" w:space="0" w:color="auto"/>
            <w:right w:val="none" w:sz="0" w:space="0" w:color="auto"/>
          </w:divBdr>
        </w:div>
        <w:div w:id="2013798943">
          <w:marLeft w:val="547"/>
          <w:marRight w:val="0"/>
          <w:marTop w:val="115"/>
          <w:marBottom w:val="86"/>
          <w:divBdr>
            <w:top w:val="none" w:sz="0" w:space="0" w:color="auto"/>
            <w:left w:val="none" w:sz="0" w:space="0" w:color="auto"/>
            <w:bottom w:val="none" w:sz="0" w:space="0" w:color="auto"/>
            <w:right w:val="none" w:sz="0" w:space="0" w:color="auto"/>
          </w:divBdr>
        </w:div>
        <w:div w:id="787697255">
          <w:marLeft w:val="547"/>
          <w:marRight w:val="0"/>
          <w:marTop w:val="115"/>
          <w:marBottom w:val="86"/>
          <w:divBdr>
            <w:top w:val="none" w:sz="0" w:space="0" w:color="auto"/>
            <w:left w:val="none" w:sz="0" w:space="0" w:color="auto"/>
            <w:bottom w:val="none" w:sz="0" w:space="0" w:color="auto"/>
            <w:right w:val="none" w:sz="0" w:space="0" w:color="auto"/>
          </w:divBdr>
        </w:div>
      </w:divsChild>
    </w:div>
    <w:div w:id="1922443797">
      <w:bodyDiv w:val="1"/>
      <w:marLeft w:val="0"/>
      <w:marRight w:val="0"/>
      <w:marTop w:val="0"/>
      <w:marBottom w:val="0"/>
      <w:divBdr>
        <w:top w:val="none" w:sz="0" w:space="0" w:color="auto"/>
        <w:left w:val="none" w:sz="0" w:space="0" w:color="auto"/>
        <w:bottom w:val="none" w:sz="0" w:space="0" w:color="auto"/>
        <w:right w:val="none" w:sz="0" w:space="0" w:color="auto"/>
      </w:divBdr>
      <w:divsChild>
        <w:div w:id="1738429736">
          <w:marLeft w:val="547"/>
          <w:marRight w:val="0"/>
          <w:marTop w:val="115"/>
          <w:marBottom w:val="86"/>
          <w:divBdr>
            <w:top w:val="none" w:sz="0" w:space="0" w:color="auto"/>
            <w:left w:val="none" w:sz="0" w:space="0" w:color="auto"/>
            <w:bottom w:val="none" w:sz="0" w:space="0" w:color="auto"/>
            <w:right w:val="none" w:sz="0" w:space="0" w:color="auto"/>
          </w:divBdr>
        </w:div>
      </w:divsChild>
    </w:div>
    <w:div w:id="1934437907">
      <w:bodyDiv w:val="1"/>
      <w:marLeft w:val="0"/>
      <w:marRight w:val="0"/>
      <w:marTop w:val="0"/>
      <w:marBottom w:val="0"/>
      <w:divBdr>
        <w:top w:val="none" w:sz="0" w:space="0" w:color="auto"/>
        <w:left w:val="none" w:sz="0" w:space="0" w:color="auto"/>
        <w:bottom w:val="none" w:sz="0" w:space="0" w:color="auto"/>
        <w:right w:val="none" w:sz="0" w:space="0" w:color="auto"/>
      </w:divBdr>
    </w:div>
    <w:div w:id="1948269116">
      <w:bodyDiv w:val="1"/>
      <w:marLeft w:val="0"/>
      <w:marRight w:val="0"/>
      <w:marTop w:val="0"/>
      <w:marBottom w:val="0"/>
      <w:divBdr>
        <w:top w:val="none" w:sz="0" w:space="0" w:color="auto"/>
        <w:left w:val="none" w:sz="0" w:space="0" w:color="auto"/>
        <w:bottom w:val="none" w:sz="0" w:space="0" w:color="auto"/>
        <w:right w:val="none" w:sz="0" w:space="0" w:color="auto"/>
      </w:divBdr>
    </w:div>
    <w:div w:id="1972973275">
      <w:bodyDiv w:val="1"/>
      <w:marLeft w:val="0"/>
      <w:marRight w:val="0"/>
      <w:marTop w:val="0"/>
      <w:marBottom w:val="0"/>
      <w:divBdr>
        <w:top w:val="none" w:sz="0" w:space="0" w:color="auto"/>
        <w:left w:val="none" w:sz="0" w:space="0" w:color="auto"/>
        <w:bottom w:val="none" w:sz="0" w:space="0" w:color="auto"/>
        <w:right w:val="none" w:sz="0" w:space="0" w:color="auto"/>
      </w:divBdr>
      <w:divsChild>
        <w:div w:id="1232934730">
          <w:marLeft w:val="634"/>
          <w:marRight w:val="0"/>
          <w:marTop w:val="115"/>
          <w:marBottom w:val="86"/>
          <w:divBdr>
            <w:top w:val="none" w:sz="0" w:space="0" w:color="auto"/>
            <w:left w:val="none" w:sz="0" w:space="0" w:color="auto"/>
            <w:bottom w:val="none" w:sz="0" w:space="0" w:color="auto"/>
            <w:right w:val="none" w:sz="0" w:space="0" w:color="auto"/>
          </w:divBdr>
        </w:div>
        <w:div w:id="2122989661">
          <w:marLeft w:val="634"/>
          <w:marRight w:val="0"/>
          <w:marTop w:val="115"/>
          <w:marBottom w:val="86"/>
          <w:divBdr>
            <w:top w:val="none" w:sz="0" w:space="0" w:color="auto"/>
            <w:left w:val="none" w:sz="0" w:space="0" w:color="auto"/>
            <w:bottom w:val="none" w:sz="0" w:space="0" w:color="auto"/>
            <w:right w:val="none" w:sz="0" w:space="0" w:color="auto"/>
          </w:divBdr>
        </w:div>
        <w:div w:id="1684546546">
          <w:marLeft w:val="634"/>
          <w:marRight w:val="0"/>
          <w:marTop w:val="115"/>
          <w:marBottom w:val="86"/>
          <w:divBdr>
            <w:top w:val="none" w:sz="0" w:space="0" w:color="auto"/>
            <w:left w:val="none" w:sz="0" w:space="0" w:color="auto"/>
            <w:bottom w:val="none" w:sz="0" w:space="0" w:color="auto"/>
            <w:right w:val="none" w:sz="0" w:space="0" w:color="auto"/>
          </w:divBdr>
        </w:div>
        <w:div w:id="1332759320">
          <w:marLeft w:val="634"/>
          <w:marRight w:val="0"/>
          <w:marTop w:val="115"/>
          <w:marBottom w:val="86"/>
          <w:divBdr>
            <w:top w:val="none" w:sz="0" w:space="0" w:color="auto"/>
            <w:left w:val="none" w:sz="0" w:space="0" w:color="auto"/>
            <w:bottom w:val="none" w:sz="0" w:space="0" w:color="auto"/>
            <w:right w:val="none" w:sz="0" w:space="0" w:color="auto"/>
          </w:divBdr>
        </w:div>
      </w:divsChild>
    </w:div>
    <w:div w:id="1975594416">
      <w:bodyDiv w:val="1"/>
      <w:marLeft w:val="0"/>
      <w:marRight w:val="0"/>
      <w:marTop w:val="0"/>
      <w:marBottom w:val="0"/>
      <w:divBdr>
        <w:top w:val="none" w:sz="0" w:space="0" w:color="auto"/>
        <w:left w:val="none" w:sz="0" w:space="0" w:color="auto"/>
        <w:bottom w:val="none" w:sz="0" w:space="0" w:color="auto"/>
        <w:right w:val="none" w:sz="0" w:space="0" w:color="auto"/>
      </w:divBdr>
      <w:divsChild>
        <w:div w:id="394158843">
          <w:marLeft w:val="1166"/>
          <w:marRight w:val="0"/>
          <w:marTop w:val="115"/>
          <w:marBottom w:val="58"/>
          <w:divBdr>
            <w:top w:val="none" w:sz="0" w:space="0" w:color="auto"/>
            <w:left w:val="none" w:sz="0" w:space="0" w:color="auto"/>
            <w:bottom w:val="none" w:sz="0" w:space="0" w:color="auto"/>
            <w:right w:val="none" w:sz="0" w:space="0" w:color="auto"/>
          </w:divBdr>
        </w:div>
        <w:div w:id="369844784">
          <w:marLeft w:val="1166"/>
          <w:marRight w:val="0"/>
          <w:marTop w:val="115"/>
          <w:marBottom w:val="58"/>
          <w:divBdr>
            <w:top w:val="none" w:sz="0" w:space="0" w:color="auto"/>
            <w:left w:val="none" w:sz="0" w:space="0" w:color="auto"/>
            <w:bottom w:val="none" w:sz="0" w:space="0" w:color="auto"/>
            <w:right w:val="none" w:sz="0" w:space="0" w:color="auto"/>
          </w:divBdr>
        </w:div>
        <w:div w:id="939140508">
          <w:marLeft w:val="1166"/>
          <w:marRight w:val="0"/>
          <w:marTop w:val="115"/>
          <w:marBottom w:val="58"/>
          <w:divBdr>
            <w:top w:val="none" w:sz="0" w:space="0" w:color="auto"/>
            <w:left w:val="none" w:sz="0" w:space="0" w:color="auto"/>
            <w:bottom w:val="none" w:sz="0" w:space="0" w:color="auto"/>
            <w:right w:val="none" w:sz="0" w:space="0" w:color="auto"/>
          </w:divBdr>
        </w:div>
      </w:divsChild>
    </w:div>
    <w:div w:id="1998026257">
      <w:bodyDiv w:val="1"/>
      <w:marLeft w:val="0"/>
      <w:marRight w:val="0"/>
      <w:marTop w:val="0"/>
      <w:marBottom w:val="0"/>
      <w:divBdr>
        <w:top w:val="none" w:sz="0" w:space="0" w:color="auto"/>
        <w:left w:val="none" w:sz="0" w:space="0" w:color="auto"/>
        <w:bottom w:val="none" w:sz="0" w:space="0" w:color="auto"/>
        <w:right w:val="none" w:sz="0" w:space="0" w:color="auto"/>
      </w:divBdr>
    </w:div>
    <w:div w:id="2002191675">
      <w:bodyDiv w:val="1"/>
      <w:marLeft w:val="0"/>
      <w:marRight w:val="0"/>
      <w:marTop w:val="0"/>
      <w:marBottom w:val="0"/>
      <w:divBdr>
        <w:top w:val="none" w:sz="0" w:space="0" w:color="auto"/>
        <w:left w:val="none" w:sz="0" w:space="0" w:color="auto"/>
        <w:bottom w:val="none" w:sz="0" w:space="0" w:color="auto"/>
        <w:right w:val="none" w:sz="0" w:space="0" w:color="auto"/>
      </w:divBdr>
      <w:divsChild>
        <w:div w:id="1167983207">
          <w:marLeft w:val="547"/>
          <w:marRight w:val="0"/>
          <w:marTop w:val="86"/>
          <w:marBottom w:val="65"/>
          <w:divBdr>
            <w:top w:val="none" w:sz="0" w:space="0" w:color="auto"/>
            <w:left w:val="none" w:sz="0" w:space="0" w:color="auto"/>
            <w:bottom w:val="none" w:sz="0" w:space="0" w:color="auto"/>
            <w:right w:val="none" w:sz="0" w:space="0" w:color="auto"/>
          </w:divBdr>
        </w:div>
        <w:div w:id="1543982846">
          <w:marLeft w:val="547"/>
          <w:marRight w:val="0"/>
          <w:marTop w:val="86"/>
          <w:marBottom w:val="65"/>
          <w:divBdr>
            <w:top w:val="none" w:sz="0" w:space="0" w:color="auto"/>
            <w:left w:val="none" w:sz="0" w:space="0" w:color="auto"/>
            <w:bottom w:val="none" w:sz="0" w:space="0" w:color="auto"/>
            <w:right w:val="none" w:sz="0" w:space="0" w:color="auto"/>
          </w:divBdr>
        </w:div>
        <w:div w:id="1278101509">
          <w:marLeft w:val="547"/>
          <w:marRight w:val="0"/>
          <w:marTop w:val="86"/>
          <w:marBottom w:val="65"/>
          <w:divBdr>
            <w:top w:val="none" w:sz="0" w:space="0" w:color="auto"/>
            <w:left w:val="none" w:sz="0" w:space="0" w:color="auto"/>
            <w:bottom w:val="none" w:sz="0" w:space="0" w:color="auto"/>
            <w:right w:val="none" w:sz="0" w:space="0" w:color="auto"/>
          </w:divBdr>
        </w:div>
      </w:divsChild>
    </w:div>
    <w:div w:id="2030375446">
      <w:bodyDiv w:val="1"/>
      <w:marLeft w:val="0"/>
      <w:marRight w:val="0"/>
      <w:marTop w:val="0"/>
      <w:marBottom w:val="0"/>
      <w:divBdr>
        <w:top w:val="none" w:sz="0" w:space="0" w:color="auto"/>
        <w:left w:val="none" w:sz="0" w:space="0" w:color="auto"/>
        <w:bottom w:val="none" w:sz="0" w:space="0" w:color="auto"/>
        <w:right w:val="none" w:sz="0" w:space="0" w:color="auto"/>
      </w:divBdr>
    </w:div>
    <w:div w:id="2049985568">
      <w:bodyDiv w:val="1"/>
      <w:marLeft w:val="0"/>
      <w:marRight w:val="0"/>
      <w:marTop w:val="0"/>
      <w:marBottom w:val="0"/>
      <w:divBdr>
        <w:top w:val="none" w:sz="0" w:space="0" w:color="auto"/>
        <w:left w:val="none" w:sz="0" w:space="0" w:color="auto"/>
        <w:bottom w:val="none" w:sz="0" w:space="0" w:color="auto"/>
        <w:right w:val="none" w:sz="0" w:space="0" w:color="auto"/>
      </w:divBdr>
      <w:divsChild>
        <w:div w:id="805508675">
          <w:marLeft w:val="634"/>
          <w:marRight w:val="0"/>
          <w:marTop w:val="115"/>
          <w:marBottom w:val="86"/>
          <w:divBdr>
            <w:top w:val="none" w:sz="0" w:space="0" w:color="auto"/>
            <w:left w:val="none" w:sz="0" w:space="0" w:color="auto"/>
            <w:bottom w:val="none" w:sz="0" w:space="0" w:color="auto"/>
            <w:right w:val="none" w:sz="0" w:space="0" w:color="auto"/>
          </w:divBdr>
        </w:div>
        <w:div w:id="670523211">
          <w:marLeft w:val="634"/>
          <w:marRight w:val="0"/>
          <w:marTop w:val="115"/>
          <w:marBottom w:val="86"/>
          <w:divBdr>
            <w:top w:val="none" w:sz="0" w:space="0" w:color="auto"/>
            <w:left w:val="none" w:sz="0" w:space="0" w:color="auto"/>
            <w:bottom w:val="none" w:sz="0" w:space="0" w:color="auto"/>
            <w:right w:val="none" w:sz="0" w:space="0" w:color="auto"/>
          </w:divBdr>
        </w:div>
        <w:div w:id="1908756736">
          <w:marLeft w:val="634"/>
          <w:marRight w:val="0"/>
          <w:marTop w:val="115"/>
          <w:marBottom w:val="86"/>
          <w:divBdr>
            <w:top w:val="none" w:sz="0" w:space="0" w:color="auto"/>
            <w:left w:val="none" w:sz="0" w:space="0" w:color="auto"/>
            <w:bottom w:val="none" w:sz="0" w:space="0" w:color="auto"/>
            <w:right w:val="none" w:sz="0" w:space="0" w:color="auto"/>
          </w:divBdr>
        </w:div>
        <w:div w:id="1755128417">
          <w:marLeft w:val="634"/>
          <w:marRight w:val="0"/>
          <w:marTop w:val="115"/>
          <w:marBottom w:val="86"/>
          <w:divBdr>
            <w:top w:val="none" w:sz="0" w:space="0" w:color="auto"/>
            <w:left w:val="none" w:sz="0" w:space="0" w:color="auto"/>
            <w:bottom w:val="none" w:sz="0" w:space="0" w:color="auto"/>
            <w:right w:val="none" w:sz="0" w:space="0" w:color="auto"/>
          </w:divBdr>
        </w:div>
        <w:div w:id="1946841171">
          <w:marLeft w:val="1440"/>
          <w:marRight w:val="0"/>
          <w:marTop w:val="115"/>
          <w:marBottom w:val="58"/>
          <w:divBdr>
            <w:top w:val="none" w:sz="0" w:space="0" w:color="auto"/>
            <w:left w:val="none" w:sz="0" w:space="0" w:color="auto"/>
            <w:bottom w:val="none" w:sz="0" w:space="0" w:color="auto"/>
            <w:right w:val="none" w:sz="0" w:space="0" w:color="auto"/>
          </w:divBdr>
        </w:div>
        <w:div w:id="1845708958">
          <w:marLeft w:val="1440"/>
          <w:marRight w:val="0"/>
          <w:marTop w:val="115"/>
          <w:marBottom w:val="58"/>
          <w:divBdr>
            <w:top w:val="none" w:sz="0" w:space="0" w:color="auto"/>
            <w:left w:val="none" w:sz="0" w:space="0" w:color="auto"/>
            <w:bottom w:val="none" w:sz="0" w:space="0" w:color="auto"/>
            <w:right w:val="none" w:sz="0" w:space="0" w:color="auto"/>
          </w:divBdr>
        </w:div>
        <w:div w:id="956105261">
          <w:marLeft w:val="1440"/>
          <w:marRight w:val="0"/>
          <w:marTop w:val="115"/>
          <w:marBottom w:val="58"/>
          <w:divBdr>
            <w:top w:val="none" w:sz="0" w:space="0" w:color="auto"/>
            <w:left w:val="none" w:sz="0" w:space="0" w:color="auto"/>
            <w:bottom w:val="none" w:sz="0" w:space="0" w:color="auto"/>
            <w:right w:val="none" w:sz="0" w:space="0" w:color="auto"/>
          </w:divBdr>
        </w:div>
      </w:divsChild>
    </w:div>
    <w:div w:id="2056813641">
      <w:bodyDiv w:val="1"/>
      <w:marLeft w:val="0"/>
      <w:marRight w:val="0"/>
      <w:marTop w:val="0"/>
      <w:marBottom w:val="0"/>
      <w:divBdr>
        <w:top w:val="none" w:sz="0" w:space="0" w:color="auto"/>
        <w:left w:val="none" w:sz="0" w:space="0" w:color="auto"/>
        <w:bottom w:val="none" w:sz="0" w:space="0" w:color="auto"/>
        <w:right w:val="none" w:sz="0" w:space="0" w:color="auto"/>
      </w:divBdr>
      <w:divsChild>
        <w:div w:id="976033491">
          <w:marLeft w:val="1166"/>
          <w:marRight w:val="0"/>
          <w:marTop w:val="115"/>
          <w:marBottom w:val="58"/>
          <w:divBdr>
            <w:top w:val="none" w:sz="0" w:space="0" w:color="auto"/>
            <w:left w:val="none" w:sz="0" w:space="0" w:color="auto"/>
            <w:bottom w:val="none" w:sz="0" w:space="0" w:color="auto"/>
            <w:right w:val="none" w:sz="0" w:space="0" w:color="auto"/>
          </w:divBdr>
        </w:div>
        <w:div w:id="746464555">
          <w:marLeft w:val="1166"/>
          <w:marRight w:val="0"/>
          <w:marTop w:val="115"/>
          <w:marBottom w:val="58"/>
          <w:divBdr>
            <w:top w:val="none" w:sz="0" w:space="0" w:color="auto"/>
            <w:left w:val="none" w:sz="0" w:space="0" w:color="auto"/>
            <w:bottom w:val="none" w:sz="0" w:space="0" w:color="auto"/>
            <w:right w:val="none" w:sz="0" w:space="0" w:color="auto"/>
          </w:divBdr>
        </w:div>
      </w:divsChild>
    </w:div>
    <w:div w:id="2063674509">
      <w:bodyDiv w:val="1"/>
      <w:marLeft w:val="0"/>
      <w:marRight w:val="0"/>
      <w:marTop w:val="0"/>
      <w:marBottom w:val="0"/>
      <w:divBdr>
        <w:top w:val="none" w:sz="0" w:space="0" w:color="auto"/>
        <w:left w:val="none" w:sz="0" w:space="0" w:color="auto"/>
        <w:bottom w:val="none" w:sz="0" w:space="0" w:color="auto"/>
        <w:right w:val="none" w:sz="0" w:space="0" w:color="auto"/>
      </w:divBdr>
      <w:divsChild>
        <w:div w:id="1842425607">
          <w:marLeft w:val="547"/>
          <w:marRight w:val="0"/>
          <w:marTop w:val="115"/>
          <w:marBottom w:val="86"/>
          <w:divBdr>
            <w:top w:val="none" w:sz="0" w:space="0" w:color="auto"/>
            <w:left w:val="none" w:sz="0" w:space="0" w:color="auto"/>
            <w:bottom w:val="none" w:sz="0" w:space="0" w:color="auto"/>
            <w:right w:val="none" w:sz="0" w:space="0" w:color="auto"/>
          </w:divBdr>
        </w:div>
        <w:div w:id="85882491">
          <w:marLeft w:val="1166"/>
          <w:marRight w:val="0"/>
          <w:marTop w:val="96"/>
          <w:marBottom w:val="48"/>
          <w:divBdr>
            <w:top w:val="none" w:sz="0" w:space="0" w:color="auto"/>
            <w:left w:val="none" w:sz="0" w:space="0" w:color="auto"/>
            <w:bottom w:val="none" w:sz="0" w:space="0" w:color="auto"/>
            <w:right w:val="none" w:sz="0" w:space="0" w:color="auto"/>
          </w:divBdr>
        </w:div>
        <w:div w:id="726222020">
          <w:marLeft w:val="1166"/>
          <w:marRight w:val="0"/>
          <w:marTop w:val="96"/>
          <w:marBottom w:val="48"/>
          <w:divBdr>
            <w:top w:val="none" w:sz="0" w:space="0" w:color="auto"/>
            <w:left w:val="none" w:sz="0" w:space="0" w:color="auto"/>
            <w:bottom w:val="none" w:sz="0" w:space="0" w:color="auto"/>
            <w:right w:val="none" w:sz="0" w:space="0" w:color="auto"/>
          </w:divBdr>
        </w:div>
        <w:div w:id="678459551">
          <w:marLeft w:val="1166"/>
          <w:marRight w:val="0"/>
          <w:marTop w:val="96"/>
          <w:marBottom w:val="48"/>
          <w:divBdr>
            <w:top w:val="none" w:sz="0" w:space="0" w:color="auto"/>
            <w:left w:val="none" w:sz="0" w:space="0" w:color="auto"/>
            <w:bottom w:val="none" w:sz="0" w:space="0" w:color="auto"/>
            <w:right w:val="none" w:sz="0" w:space="0" w:color="auto"/>
          </w:divBdr>
        </w:div>
        <w:div w:id="1055009747">
          <w:marLeft w:val="547"/>
          <w:marRight w:val="0"/>
          <w:marTop w:val="115"/>
          <w:marBottom w:val="86"/>
          <w:divBdr>
            <w:top w:val="none" w:sz="0" w:space="0" w:color="auto"/>
            <w:left w:val="none" w:sz="0" w:space="0" w:color="auto"/>
            <w:bottom w:val="none" w:sz="0" w:space="0" w:color="auto"/>
            <w:right w:val="none" w:sz="0" w:space="0" w:color="auto"/>
          </w:divBdr>
        </w:div>
        <w:div w:id="427821764">
          <w:marLeft w:val="1166"/>
          <w:marRight w:val="0"/>
          <w:marTop w:val="96"/>
          <w:marBottom w:val="48"/>
          <w:divBdr>
            <w:top w:val="none" w:sz="0" w:space="0" w:color="auto"/>
            <w:left w:val="none" w:sz="0" w:space="0" w:color="auto"/>
            <w:bottom w:val="none" w:sz="0" w:space="0" w:color="auto"/>
            <w:right w:val="none" w:sz="0" w:space="0" w:color="auto"/>
          </w:divBdr>
        </w:div>
      </w:divsChild>
    </w:div>
    <w:div w:id="2145460281">
      <w:bodyDiv w:val="1"/>
      <w:marLeft w:val="0"/>
      <w:marRight w:val="0"/>
      <w:marTop w:val="0"/>
      <w:marBottom w:val="0"/>
      <w:divBdr>
        <w:top w:val="none" w:sz="0" w:space="0" w:color="auto"/>
        <w:left w:val="none" w:sz="0" w:space="0" w:color="auto"/>
        <w:bottom w:val="none" w:sz="0" w:space="0" w:color="auto"/>
        <w:right w:val="none" w:sz="0" w:space="0" w:color="auto"/>
      </w:divBdr>
      <w:divsChild>
        <w:div w:id="2102136476">
          <w:marLeft w:val="547"/>
          <w:marRight w:val="0"/>
          <w:marTop w:val="115"/>
          <w:marBottom w:val="86"/>
          <w:divBdr>
            <w:top w:val="none" w:sz="0" w:space="0" w:color="auto"/>
            <w:left w:val="none" w:sz="0" w:space="0" w:color="auto"/>
            <w:bottom w:val="none" w:sz="0" w:space="0" w:color="auto"/>
            <w:right w:val="none" w:sz="0" w:space="0" w:color="auto"/>
          </w:divBdr>
        </w:div>
        <w:div w:id="454375114">
          <w:marLeft w:val="547"/>
          <w:marRight w:val="0"/>
          <w:marTop w:val="115"/>
          <w:marBottom w:val="86"/>
          <w:divBdr>
            <w:top w:val="none" w:sz="0" w:space="0" w:color="auto"/>
            <w:left w:val="none" w:sz="0" w:space="0" w:color="auto"/>
            <w:bottom w:val="none" w:sz="0" w:space="0" w:color="auto"/>
            <w:right w:val="none" w:sz="0" w:space="0" w:color="auto"/>
          </w:divBdr>
        </w:div>
        <w:div w:id="1126779532">
          <w:marLeft w:val="547"/>
          <w:marRight w:val="0"/>
          <w:marTop w:val="115"/>
          <w:marBottom w:val="86"/>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2297</Words>
  <Characters>13094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USDOT-Volpe Center</Company>
  <LinksUpToDate>false</LinksUpToDate>
  <CharactersWithSpaces>15361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 Michael (VOLPE)</dc:creator>
  <cp:lastModifiedBy>Patrick DeCorla-Souza</cp:lastModifiedBy>
  <cp:revision>6</cp:revision>
  <cp:lastPrinted>2016-03-03T14:03:00Z</cp:lastPrinted>
  <dcterms:created xsi:type="dcterms:W3CDTF">2016-03-04T12:41:00Z</dcterms:created>
  <dcterms:modified xsi:type="dcterms:W3CDTF">2016-03-11T14:54:00Z</dcterms:modified>
</cp:coreProperties>
</file>