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C621" w14:textId="77777777" w:rsidR="00347728" w:rsidRPr="004B1930" w:rsidRDefault="00347728" w:rsidP="009F3E88">
      <w:pPr>
        <w:pStyle w:val="Heading1"/>
        <w:spacing w:before="60" w:after="60" w:line="240" w:lineRule="auto"/>
      </w:pPr>
      <w:r w:rsidRPr="004B1930">
        <w:t>Measurement Plan</w:t>
      </w:r>
    </w:p>
    <w:p w14:paraId="14E9ABE5" w14:textId="167A1262" w:rsidR="00347728" w:rsidRPr="00B41870" w:rsidRDefault="00347728" w:rsidP="009F3E88">
      <w:pPr>
        <w:spacing w:before="60" w:after="60"/>
        <w:rPr>
          <w:rFonts w:ascii="Cambria" w:hAnsi="Cambria"/>
        </w:rPr>
      </w:pPr>
      <w:r w:rsidRPr="00B41870">
        <w:rPr>
          <w:rFonts w:ascii="Cambria" w:hAnsi="Cambria"/>
        </w:rPr>
        <w:t xml:space="preserve">The performance </w:t>
      </w:r>
      <w:r w:rsidR="006D1D4F" w:rsidRPr="00B41870">
        <w:rPr>
          <w:rFonts w:ascii="Cambria" w:hAnsi="Cambria"/>
        </w:rPr>
        <w:t>indicators</w:t>
      </w:r>
      <w:r w:rsidRPr="00B41870">
        <w:rPr>
          <w:rFonts w:ascii="Cambria" w:hAnsi="Cambria"/>
        </w:rPr>
        <w:t xml:space="preserve">, targets, and reporting frequency are provided for each strategic goal and objective in the following tables. Some of the </w:t>
      </w:r>
      <w:r w:rsidR="00B41870" w:rsidRPr="00B41870">
        <w:rPr>
          <w:rFonts w:ascii="Cambria" w:hAnsi="Cambria"/>
        </w:rPr>
        <w:t>indicator</w:t>
      </w:r>
      <w:r w:rsidRPr="00B41870">
        <w:rPr>
          <w:rFonts w:ascii="Cambria" w:hAnsi="Cambria"/>
        </w:rPr>
        <w:t>s in the tables are included in the list of National Performa</w:t>
      </w:r>
      <w:r w:rsidR="00AC2898" w:rsidRPr="00B41870">
        <w:rPr>
          <w:rFonts w:ascii="Cambria" w:hAnsi="Cambria"/>
        </w:rPr>
        <w:t xml:space="preserve">nce Management Measures </w:t>
      </w:r>
      <w:r w:rsidRPr="00B41870">
        <w:rPr>
          <w:rFonts w:ascii="Cambria" w:hAnsi="Cambria"/>
        </w:rPr>
        <w:t>in</w:t>
      </w:r>
      <w:r w:rsidR="00AC2898" w:rsidRPr="00B41870">
        <w:rPr>
          <w:rFonts w:ascii="Cambria" w:hAnsi="Cambria"/>
        </w:rPr>
        <w:t xml:space="preserve"> </w:t>
      </w:r>
      <w:hyperlink r:id="rId8" w:history="1">
        <w:r w:rsidR="007020BD" w:rsidRPr="00B41870">
          <w:rPr>
            <w:rStyle w:val="Hyperlink"/>
            <w:rFonts w:ascii="Cambria" w:hAnsi="Cambria"/>
          </w:rPr>
          <w:t>23CFR</w:t>
        </w:r>
        <w:r w:rsidR="00AC2898" w:rsidRPr="00B41870">
          <w:rPr>
            <w:rStyle w:val="Hyperlink"/>
            <w:rFonts w:ascii="Cambria" w:hAnsi="Cambria"/>
          </w:rPr>
          <w:t>1.</w:t>
        </w:r>
        <w:r w:rsidR="007020BD" w:rsidRPr="00B41870">
          <w:rPr>
            <w:rStyle w:val="Hyperlink"/>
            <w:rFonts w:ascii="Cambria" w:hAnsi="Cambria"/>
          </w:rPr>
          <w:t>490</w:t>
        </w:r>
      </w:hyperlink>
      <w:r w:rsidR="007020BD" w:rsidRPr="00B41870">
        <w:rPr>
          <w:rFonts w:ascii="Cambria" w:hAnsi="Cambria"/>
        </w:rPr>
        <w:t xml:space="preserve"> (2017)</w:t>
      </w:r>
      <w:r w:rsidR="00AC2898" w:rsidRPr="00B41870">
        <w:rPr>
          <w:rFonts w:ascii="Cambria" w:hAnsi="Cambria"/>
        </w:rPr>
        <w:t>.</w:t>
      </w:r>
      <w:r w:rsidR="00D344BD" w:rsidRPr="00B41870">
        <w:rPr>
          <w:rFonts w:ascii="Cambria" w:hAnsi="Cambria"/>
        </w:rPr>
        <w:t xml:space="preserve"> In addition, four </w:t>
      </w:r>
      <w:r w:rsidR="006D1D4F" w:rsidRPr="00B41870">
        <w:rPr>
          <w:rFonts w:ascii="Cambria" w:hAnsi="Cambria"/>
        </w:rPr>
        <w:t>indicators</w:t>
      </w:r>
      <w:r w:rsidR="00D344BD" w:rsidRPr="00B41870">
        <w:rPr>
          <w:rFonts w:ascii="Cambria" w:hAnsi="Cambria"/>
        </w:rPr>
        <w:t xml:space="preserve"> are for</w:t>
      </w:r>
      <w:r w:rsidR="00BB4A77" w:rsidRPr="00B41870">
        <w:rPr>
          <w:rFonts w:ascii="Cambria" w:hAnsi="Cambria"/>
        </w:rPr>
        <w:t xml:space="preserve"> reporting on</w:t>
      </w:r>
      <w:r w:rsidR="00D344BD" w:rsidRPr="00B41870">
        <w:rPr>
          <w:rFonts w:ascii="Cambria" w:hAnsi="Cambria"/>
        </w:rPr>
        <w:t xml:space="preserve"> the USDOT Agency Priority Goals (APG). </w:t>
      </w:r>
    </w:p>
    <w:p w14:paraId="637423BE" w14:textId="75F4287E" w:rsidR="00347728" w:rsidRPr="00B41870" w:rsidRDefault="00347728" w:rsidP="009F3E88">
      <w:pPr>
        <w:spacing w:before="60" w:after="60"/>
        <w:rPr>
          <w:rFonts w:ascii="Cambria" w:hAnsi="Cambria"/>
        </w:rPr>
      </w:pPr>
      <w:r w:rsidRPr="00B41870">
        <w:rPr>
          <w:rFonts w:ascii="Cambria" w:hAnsi="Cambria"/>
        </w:rPr>
        <w:t xml:space="preserve">The information </w:t>
      </w:r>
      <w:r w:rsidR="00D344BD" w:rsidRPr="00B41870">
        <w:rPr>
          <w:rFonts w:ascii="Cambria" w:hAnsi="Cambria"/>
        </w:rPr>
        <w:t xml:space="preserve">for </w:t>
      </w:r>
      <w:r w:rsidRPr="00B41870">
        <w:rPr>
          <w:rFonts w:ascii="Cambria" w:hAnsi="Cambria"/>
        </w:rPr>
        <w:t xml:space="preserve">the performance </w:t>
      </w:r>
      <w:r w:rsidR="006D1D4F" w:rsidRPr="00B41870">
        <w:rPr>
          <w:rFonts w:ascii="Cambria" w:hAnsi="Cambria"/>
        </w:rPr>
        <w:t>indicators</w:t>
      </w:r>
      <w:r w:rsidRPr="00B41870">
        <w:rPr>
          <w:rFonts w:ascii="Cambria" w:hAnsi="Cambria"/>
        </w:rPr>
        <w:t xml:space="preserve"> listed in the tabl</w:t>
      </w:r>
      <w:r w:rsidR="001B46FE" w:rsidRPr="00B41870">
        <w:rPr>
          <w:rFonts w:ascii="Cambria" w:hAnsi="Cambria"/>
        </w:rPr>
        <w:t>es will be updated periodically</w:t>
      </w:r>
      <w:r w:rsidR="000F7830" w:rsidRPr="00B41870">
        <w:rPr>
          <w:rFonts w:ascii="Cambria" w:hAnsi="Cambria"/>
        </w:rPr>
        <w:t xml:space="preserve"> </w:t>
      </w:r>
      <w:r w:rsidRPr="00B41870">
        <w:rPr>
          <w:rFonts w:ascii="Cambria" w:hAnsi="Cambria"/>
        </w:rPr>
        <w:t>as results become available</w:t>
      </w:r>
      <w:r w:rsidR="000F7830" w:rsidRPr="00B41870">
        <w:rPr>
          <w:rFonts w:ascii="Cambria" w:hAnsi="Cambria"/>
        </w:rPr>
        <w:t xml:space="preserve"> and out-year </w:t>
      </w:r>
      <w:r w:rsidRPr="00B41870">
        <w:rPr>
          <w:rFonts w:ascii="Cambria" w:hAnsi="Cambria"/>
        </w:rPr>
        <w:t xml:space="preserve">targets are established. </w:t>
      </w:r>
      <w:r w:rsidR="00682865" w:rsidRPr="00B41870">
        <w:rPr>
          <w:rFonts w:ascii="Cambria" w:hAnsi="Cambria"/>
        </w:rPr>
        <w:t xml:space="preserve">Initial targets extend to </w:t>
      </w:r>
      <w:r w:rsidR="00EA5C13" w:rsidRPr="00B41870">
        <w:rPr>
          <w:rFonts w:ascii="Cambria" w:hAnsi="Cambria"/>
        </w:rPr>
        <w:t xml:space="preserve">Fiscal Year (FY) </w:t>
      </w:r>
      <w:r w:rsidR="00682865" w:rsidRPr="00B41870">
        <w:rPr>
          <w:rFonts w:ascii="Cambria" w:hAnsi="Cambria"/>
        </w:rPr>
        <w:t xml:space="preserve">2020. </w:t>
      </w:r>
      <w:r w:rsidRPr="00B41870">
        <w:rPr>
          <w:rFonts w:ascii="Cambria" w:hAnsi="Cambria"/>
        </w:rPr>
        <w:t xml:space="preserve">The reporting frequency for each </w:t>
      </w:r>
      <w:r w:rsidR="00B41870" w:rsidRPr="00B41870">
        <w:rPr>
          <w:rFonts w:ascii="Cambria" w:hAnsi="Cambria"/>
        </w:rPr>
        <w:t>indicator</w:t>
      </w:r>
      <w:r w:rsidRPr="00B41870">
        <w:rPr>
          <w:rFonts w:ascii="Cambria" w:hAnsi="Cambria"/>
        </w:rPr>
        <w:t xml:space="preserve"> is based on </w:t>
      </w:r>
      <w:r w:rsidR="000F7830" w:rsidRPr="00B41870">
        <w:rPr>
          <w:rFonts w:ascii="Cambria" w:hAnsi="Cambria"/>
        </w:rPr>
        <w:t xml:space="preserve">the </w:t>
      </w:r>
      <w:r w:rsidRPr="00B41870">
        <w:rPr>
          <w:rFonts w:ascii="Cambria" w:hAnsi="Cambria"/>
        </w:rPr>
        <w:t xml:space="preserve">current </w:t>
      </w:r>
      <w:r w:rsidR="000F7830" w:rsidRPr="00B41870">
        <w:rPr>
          <w:rFonts w:ascii="Cambria" w:hAnsi="Cambria"/>
        </w:rPr>
        <w:t>schedule</w:t>
      </w:r>
      <w:r w:rsidRPr="00B41870">
        <w:rPr>
          <w:rFonts w:ascii="Cambria" w:hAnsi="Cambria"/>
        </w:rPr>
        <w:t xml:space="preserve"> and is subject to change based on the requirements for reports to the Office of Management and Budget and internal reports to the Office of the Secretary</w:t>
      </w:r>
      <w:r w:rsidR="00D344BD" w:rsidRPr="00B41870">
        <w:rPr>
          <w:rFonts w:ascii="Cambria" w:hAnsi="Cambria"/>
        </w:rPr>
        <w:t xml:space="preserve"> or</w:t>
      </w:r>
      <w:r w:rsidRPr="00B41870">
        <w:rPr>
          <w:rFonts w:ascii="Cambria" w:hAnsi="Cambria"/>
        </w:rPr>
        <w:t xml:space="preserve"> the FHWA leadership team beginning in FY 2019.  </w:t>
      </w:r>
      <w:r w:rsidR="00D344BD" w:rsidRPr="00B41870">
        <w:rPr>
          <w:rFonts w:ascii="Cambria" w:hAnsi="Cambria"/>
        </w:rPr>
        <w:t xml:space="preserve"> </w:t>
      </w:r>
      <w:r w:rsidR="00DF7874" w:rsidRPr="00B41870">
        <w:rPr>
          <w:rFonts w:ascii="Cambria" w:hAnsi="Cambria"/>
        </w:rPr>
        <w:t>Results are for the Fiscal Y</w:t>
      </w:r>
      <w:r w:rsidR="00682865" w:rsidRPr="00B41870">
        <w:rPr>
          <w:rFonts w:ascii="Cambria" w:hAnsi="Cambria"/>
        </w:rPr>
        <w:t>ear unless otherwise noted as Calendar Year (CY).</w:t>
      </w:r>
    </w:p>
    <w:p w14:paraId="798C08A9" w14:textId="77777777" w:rsidR="00347728" w:rsidRDefault="00BF4645" w:rsidP="009F3E88">
      <w:pPr>
        <w:spacing w:before="60" w:after="60"/>
        <w:jc w:val="center"/>
      </w:pPr>
      <w:r>
        <w:t>_______________</w:t>
      </w:r>
    </w:p>
    <w:p w14:paraId="0C353708" w14:textId="77777777" w:rsidR="00347728" w:rsidRPr="009C1634" w:rsidRDefault="00347728" w:rsidP="009F3E88">
      <w:pPr>
        <w:spacing w:before="60" w:after="60"/>
        <w:rPr>
          <w:rFonts w:ascii="Cambria" w:hAnsi="Cambria"/>
        </w:rPr>
      </w:pPr>
      <w:r w:rsidRPr="009C1634">
        <w:rPr>
          <w:rFonts w:ascii="Cambria" w:hAnsi="Cambria"/>
        </w:rPr>
        <w:t>Goal: Safety</w:t>
      </w:r>
    </w:p>
    <w:p w14:paraId="708CD64A" w14:textId="604AEFA3" w:rsidR="009C1634" w:rsidRDefault="00347728" w:rsidP="009F3E88">
      <w:pPr>
        <w:spacing w:before="60" w:after="60"/>
        <w:rPr>
          <w:rFonts w:ascii="Cambria" w:hAnsi="Cambria"/>
        </w:rPr>
      </w:pPr>
      <w:r w:rsidRPr="009C1634">
        <w:rPr>
          <w:rFonts w:ascii="Cambria" w:hAnsi="Cambria"/>
        </w:rPr>
        <w:t>Strategic Objective #1</w:t>
      </w:r>
      <w:r w:rsidR="009C1634">
        <w:rPr>
          <w:rFonts w:ascii="Cambria" w:hAnsi="Cambria"/>
        </w:rPr>
        <w:t xml:space="preserve">: </w:t>
      </w:r>
      <w:r w:rsidR="009C1634" w:rsidRPr="009C1634">
        <w:rPr>
          <w:rFonts w:ascii="Cambria" w:hAnsi="Cambria"/>
        </w:rPr>
        <w:t xml:space="preserve">Save lives by expanding the use of data driven systemic safety management approaches and by increasing the adoption of proven safety solutions by all road owners.   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7"/>
        <w:gridCol w:w="1555"/>
        <w:gridCol w:w="1252"/>
        <w:gridCol w:w="1252"/>
        <w:gridCol w:w="1252"/>
        <w:gridCol w:w="1252"/>
      </w:tblGrid>
      <w:tr w:rsidR="005D3461" w14:paraId="1DC875A4" w14:textId="77777777" w:rsidTr="00E75FC2">
        <w:trPr>
          <w:trHeight w:val="504"/>
        </w:trPr>
        <w:tc>
          <w:tcPr>
            <w:tcW w:w="3168" w:type="dxa"/>
            <w:vAlign w:val="center"/>
          </w:tcPr>
          <w:p w14:paraId="6605D169" w14:textId="59467A55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Performance </w:t>
            </w:r>
            <w:r w:rsidR="00F774CC"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560" w:type="dxa"/>
            <w:vAlign w:val="center"/>
          </w:tcPr>
          <w:p w14:paraId="083FA528" w14:textId="77777777" w:rsidR="005D3461" w:rsidRPr="007743CF" w:rsidRDefault="005D3461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Lead Office</w:t>
            </w:r>
          </w:p>
        </w:tc>
        <w:tc>
          <w:tcPr>
            <w:tcW w:w="1255" w:type="dxa"/>
            <w:vAlign w:val="center"/>
          </w:tcPr>
          <w:p w14:paraId="0CAF9440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2018 Baseline</w:t>
            </w:r>
          </w:p>
        </w:tc>
        <w:tc>
          <w:tcPr>
            <w:tcW w:w="1255" w:type="dxa"/>
            <w:vAlign w:val="center"/>
          </w:tcPr>
          <w:p w14:paraId="46D70EE0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2019 Target</w:t>
            </w:r>
          </w:p>
        </w:tc>
        <w:tc>
          <w:tcPr>
            <w:tcW w:w="1255" w:type="dxa"/>
            <w:vAlign w:val="center"/>
          </w:tcPr>
          <w:p w14:paraId="436286FC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2020 Target</w:t>
            </w:r>
          </w:p>
        </w:tc>
        <w:tc>
          <w:tcPr>
            <w:tcW w:w="1255" w:type="dxa"/>
            <w:vAlign w:val="center"/>
          </w:tcPr>
          <w:p w14:paraId="35E142B2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Reporting Frequency</w:t>
            </w:r>
          </w:p>
        </w:tc>
      </w:tr>
      <w:tr w:rsidR="007743CF" w14:paraId="10A99524" w14:textId="77777777" w:rsidTr="00E75FC2">
        <w:trPr>
          <w:trHeight w:val="504"/>
        </w:trPr>
        <w:tc>
          <w:tcPr>
            <w:tcW w:w="3168" w:type="dxa"/>
            <w:vAlign w:val="center"/>
          </w:tcPr>
          <w:p w14:paraId="2E55D94A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Highway fatality rate, or number of fatalities per 100 million Vehicle Miles Traveled (VMT), CY, APG.</w:t>
            </w:r>
          </w:p>
        </w:tc>
        <w:tc>
          <w:tcPr>
            <w:tcW w:w="1560" w:type="dxa"/>
            <w:vAlign w:val="center"/>
          </w:tcPr>
          <w:p w14:paraId="2E7DB504" w14:textId="6129EE89" w:rsidR="007743CF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Safety</w:t>
            </w:r>
          </w:p>
        </w:tc>
        <w:tc>
          <w:tcPr>
            <w:tcW w:w="1255" w:type="dxa"/>
            <w:vAlign w:val="center"/>
          </w:tcPr>
          <w:p w14:paraId="279618B8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1.07 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255" w:type="dxa"/>
            <w:vAlign w:val="center"/>
          </w:tcPr>
          <w:p w14:paraId="443F2283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1.02</w:t>
            </w:r>
          </w:p>
        </w:tc>
        <w:tc>
          <w:tcPr>
            <w:tcW w:w="1255" w:type="dxa"/>
            <w:vAlign w:val="center"/>
          </w:tcPr>
          <w:p w14:paraId="451BC2FF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1.01</w:t>
            </w:r>
          </w:p>
        </w:tc>
        <w:tc>
          <w:tcPr>
            <w:tcW w:w="1255" w:type="dxa"/>
            <w:vAlign w:val="center"/>
          </w:tcPr>
          <w:p w14:paraId="55148E72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Annual</w:t>
            </w:r>
          </w:p>
        </w:tc>
      </w:tr>
      <w:tr w:rsidR="007743CF" w14:paraId="3A725E70" w14:textId="77777777" w:rsidTr="00E75FC2">
        <w:trPr>
          <w:trHeight w:val="504"/>
        </w:trPr>
        <w:tc>
          <w:tcPr>
            <w:tcW w:w="3168" w:type="dxa"/>
            <w:vAlign w:val="center"/>
          </w:tcPr>
          <w:p w14:paraId="54CB44DE" w14:textId="75089119" w:rsidR="007743CF" w:rsidRPr="007743CF" w:rsidRDefault="007743CF" w:rsidP="00EF2BEB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Number of State DOTs collecting all the Fundamental Data Elements, which are a subset of Model Inventory of Roadway Elements (MIRE).</w:t>
            </w:r>
            <w:r w:rsidR="00DB11A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3C6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F2BE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1AE" w:rsidRPr="00DB11AE">
              <w:rPr>
                <w:rFonts w:ascii="Cambria" w:hAnsi="Cambria"/>
                <w:i/>
                <w:sz w:val="22"/>
                <w:szCs w:val="22"/>
              </w:rPr>
              <w:t>(*- see note below)</w:t>
            </w:r>
          </w:p>
        </w:tc>
        <w:tc>
          <w:tcPr>
            <w:tcW w:w="1560" w:type="dxa"/>
            <w:vAlign w:val="center"/>
          </w:tcPr>
          <w:p w14:paraId="151DDABC" w14:textId="6FDFC4C7" w:rsidR="007743CF" w:rsidRDefault="00403C6E" w:rsidP="00403C6E">
            <w:pPr>
              <w:spacing w:before="60" w:after="6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Safety</w:t>
            </w:r>
          </w:p>
        </w:tc>
        <w:tc>
          <w:tcPr>
            <w:tcW w:w="1255" w:type="dxa"/>
            <w:vAlign w:val="center"/>
          </w:tcPr>
          <w:p w14:paraId="355D08DB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1255" w:type="dxa"/>
            <w:vAlign w:val="center"/>
          </w:tcPr>
          <w:p w14:paraId="4D2999FE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1255" w:type="dxa"/>
            <w:vAlign w:val="center"/>
          </w:tcPr>
          <w:p w14:paraId="50057658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1255" w:type="dxa"/>
            <w:vAlign w:val="center"/>
          </w:tcPr>
          <w:p w14:paraId="7C99FC56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  <w:r w:rsidR="007743CF" w:rsidRPr="007743CF">
              <w:rPr>
                <w:rFonts w:ascii="Cambria" w:hAnsi="Cambria"/>
                <w:sz w:val="22"/>
                <w:szCs w:val="22"/>
              </w:rPr>
              <w:t>nnual</w:t>
            </w:r>
          </w:p>
        </w:tc>
      </w:tr>
      <w:tr w:rsidR="007743CF" w14:paraId="61D12A37" w14:textId="77777777" w:rsidTr="00E75FC2">
        <w:trPr>
          <w:trHeight w:val="504"/>
        </w:trPr>
        <w:tc>
          <w:tcPr>
            <w:tcW w:w="3168" w:type="dxa"/>
            <w:vAlign w:val="center"/>
          </w:tcPr>
          <w:p w14:paraId="509DB771" w14:textId="44A59A4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Average n</w:t>
            </w:r>
            <w:r w:rsidR="007743CF" w:rsidRPr="007743CF">
              <w:rPr>
                <w:rFonts w:ascii="Cambria" w:hAnsi="Cambria"/>
                <w:sz w:val="22"/>
                <w:szCs w:val="22"/>
              </w:rPr>
              <w:t>umber of State DOTs implementing proven safety countermeasures at the post demonstration level.</w:t>
            </w:r>
          </w:p>
        </w:tc>
        <w:tc>
          <w:tcPr>
            <w:tcW w:w="1560" w:type="dxa"/>
            <w:vAlign w:val="center"/>
          </w:tcPr>
          <w:p w14:paraId="4D935233" w14:textId="1B394825" w:rsidR="007743CF" w:rsidRDefault="00403C6E" w:rsidP="00403C6E">
            <w:pPr>
              <w:spacing w:before="60" w:after="6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Safety</w:t>
            </w:r>
          </w:p>
        </w:tc>
        <w:tc>
          <w:tcPr>
            <w:tcW w:w="1255" w:type="dxa"/>
            <w:vAlign w:val="center"/>
          </w:tcPr>
          <w:p w14:paraId="27C55ACD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255" w:type="dxa"/>
            <w:vAlign w:val="center"/>
          </w:tcPr>
          <w:p w14:paraId="59393001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255" w:type="dxa"/>
            <w:vAlign w:val="center"/>
          </w:tcPr>
          <w:p w14:paraId="01F385C9" w14:textId="77777777" w:rsidR="007743CF" w:rsidRPr="007743CF" w:rsidRDefault="000D0A68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255" w:type="dxa"/>
            <w:vAlign w:val="center"/>
          </w:tcPr>
          <w:p w14:paraId="76602750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DB11AE" w14:paraId="231C97B9" w14:textId="77777777" w:rsidTr="00E75FC2">
        <w:trPr>
          <w:trHeight w:val="504"/>
        </w:trPr>
        <w:tc>
          <w:tcPr>
            <w:tcW w:w="3168" w:type="dxa"/>
            <w:gridSpan w:val="6"/>
            <w:vAlign w:val="center"/>
          </w:tcPr>
          <w:p w14:paraId="304D5E04" w14:textId="77777777" w:rsidR="00DB11AE" w:rsidRPr="000D0A68" w:rsidRDefault="00DB11AE" w:rsidP="00DB11AE">
            <w:pPr>
              <w:spacing w:before="60" w:after="6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0D0A68">
              <w:rPr>
                <w:rFonts w:ascii="Cambria" w:hAnsi="Cambria"/>
                <w:i/>
                <w:sz w:val="22"/>
                <w:szCs w:val="22"/>
              </w:rPr>
              <w:t>*</w:t>
            </w:r>
            <w:r w:rsidR="000D0A68" w:rsidRPr="000D0A68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0D0A68">
              <w:rPr>
                <w:rFonts w:ascii="Cambria" w:hAnsi="Cambria"/>
                <w:i/>
                <w:sz w:val="22"/>
                <w:szCs w:val="22"/>
              </w:rPr>
              <w:t xml:space="preserve">Results are </w:t>
            </w:r>
            <w:r w:rsidR="000D0A68" w:rsidRPr="000D0A68">
              <w:rPr>
                <w:rFonts w:ascii="Cambria" w:hAnsi="Cambria"/>
                <w:i/>
                <w:sz w:val="22"/>
                <w:szCs w:val="22"/>
              </w:rPr>
              <w:t>based on States re</w:t>
            </w:r>
            <w:r w:rsidR="000D0A68">
              <w:rPr>
                <w:rFonts w:ascii="Cambria" w:hAnsi="Cambria"/>
                <w:i/>
                <w:sz w:val="22"/>
                <w:szCs w:val="22"/>
              </w:rPr>
              <w:t xml:space="preserve">porting on non-local paved road </w:t>
            </w:r>
            <w:r w:rsidR="000D0A68" w:rsidRPr="000D0A68">
              <w:rPr>
                <w:rFonts w:ascii="Cambria" w:hAnsi="Cambria"/>
                <w:i/>
                <w:sz w:val="22"/>
                <w:szCs w:val="22"/>
              </w:rPr>
              <w:t>segment for State-owned roads only</w:t>
            </w:r>
            <w:r w:rsidR="000D0A68"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</w:tr>
      <w:tr w:rsidR="007743CF" w14:paraId="4EA3980E" w14:textId="77777777" w:rsidTr="00E75FC2">
        <w:trPr>
          <w:trHeight w:val="504"/>
        </w:trPr>
        <w:tc>
          <w:tcPr>
            <w:tcW w:w="3168" w:type="dxa"/>
            <w:gridSpan w:val="6"/>
            <w:vAlign w:val="center"/>
          </w:tcPr>
          <w:p w14:paraId="1AF546A3" w14:textId="77777777" w:rsidR="007743CF" w:rsidRPr="00DB11AE" w:rsidRDefault="007743CF" w:rsidP="00DB11AE">
            <w:pPr>
              <w:spacing w:before="60" w:after="60"/>
              <w:rPr>
                <w:rFonts w:ascii="Cambria" w:hAnsi="Cambria"/>
                <w:i/>
                <w:sz w:val="22"/>
                <w:szCs w:val="22"/>
              </w:rPr>
            </w:pPr>
            <w:r w:rsidRPr="00DB11AE">
              <w:rPr>
                <w:rFonts w:ascii="Cambria" w:hAnsi="Cambria"/>
                <w:i/>
                <w:sz w:val="22"/>
                <w:szCs w:val="22"/>
              </w:rPr>
              <w:t>TBD–To be determined; (p) – preliminary estimate; (r) - revised</w:t>
            </w:r>
          </w:p>
        </w:tc>
      </w:tr>
    </w:tbl>
    <w:p w14:paraId="750D3DCE" w14:textId="77777777" w:rsidR="00DB11AE" w:rsidRDefault="00DB11AE" w:rsidP="009F3E88">
      <w:pPr>
        <w:spacing w:before="60" w:after="60"/>
        <w:rPr>
          <w:rFonts w:ascii="Cambria" w:hAnsi="Cambria"/>
        </w:rPr>
      </w:pPr>
    </w:p>
    <w:p w14:paraId="1808F72F" w14:textId="7602D676" w:rsidR="00347728" w:rsidRDefault="00347728" w:rsidP="009F3E8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Goal: Infrastructure</w:t>
      </w:r>
    </w:p>
    <w:p w14:paraId="697720E2" w14:textId="77777777" w:rsidR="00BE02A1" w:rsidRDefault="00BE02A1" w:rsidP="00BE02A1">
      <w:pPr>
        <w:spacing w:before="60" w:after="60"/>
        <w:rPr>
          <w:rFonts w:ascii="Cambria" w:hAnsi="Cambria"/>
          <w:iCs/>
        </w:rPr>
      </w:pPr>
      <w:r w:rsidRPr="009C1634">
        <w:rPr>
          <w:rFonts w:ascii="Cambria" w:hAnsi="Cambria"/>
        </w:rPr>
        <w:t xml:space="preserve">Strategic Objective #2: </w:t>
      </w:r>
      <w:r w:rsidRPr="009C1634">
        <w:rPr>
          <w:rFonts w:ascii="Cambria" w:hAnsi="Cambria"/>
          <w:iCs/>
        </w:rPr>
        <w:t>Improve program and project decision-making by using a data-driven approach, asset management principles, and a performance-based program that lead to better conditions and more efficient operations.</w:t>
      </w:r>
    </w:p>
    <w:p w14:paraId="1B140100" w14:textId="77777777" w:rsidR="00BE02A1" w:rsidRDefault="00BE02A1" w:rsidP="009F3E88">
      <w:pPr>
        <w:spacing w:before="60" w:after="60"/>
        <w:rPr>
          <w:rFonts w:ascii="Cambria" w:hAnsi="Cambria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13"/>
        <w:gridCol w:w="1564"/>
        <w:gridCol w:w="1238"/>
        <w:gridCol w:w="1335"/>
        <w:gridCol w:w="1335"/>
        <w:gridCol w:w="1335"/>
      </w:tblGrid>
      <w:tr w:rsidR="005D3461" w:rsidRPr="001F75EE" w14:paraId="5874A40C" w14:textId="77777777" w:rsidTr="00EF7CC4">
        <w:trPr>
          <w:trHeight w:val="504"/>
        </w:trPr>
        <w:tc>
          <w:tcPr>
            <w:tcW w:w="2913" w:type="dxa"/>
            <w:vAlign w:val="center"/>
          </w:tcPr>
          <w:p w14:paraId="2573ED12" w14:textId="64E47522" w:rsidR="005D3461" w:rsidRPr="007743CF" w:rsidRDefault="00F774CC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lastRenderedPageBreak/>
              <w:t xml:space="preserve">Performance </w:t>
            </w:r>
            <w:r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564" w:type="dxa"/>
            <w:vAlign w:val="center"/>
          </w:tcPr>
          <w:p w14:paraId="6B5A89F4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Lead Office</w:t>
            </w:r>
          </w:p>
        </w:tc>
        <w:tc>
          <w:tcPr>
            <w:tcW w:w="1238" w:type="dxa"/>
            <w:vAlign w:val="center"/>
          </w:tcPr>
          <w:p w14:paraId="0B6B3B3F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2018 Baseline</w:t>
            </w:r>
          </w:p>
        </w:tc>
        <w:tc>
          <w:tcPr>
            <w:tcW w:w="1335" w:type="dxa"/>
            <w:vAlign w:val="center"/>
          </w:tcPr>
          <w:p w14:paraId="2BCC9F0E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2019 Target</w:t>
            </w:r>
          </w:p>
        </w:tc>
        <w:tc>
          <w:tcPr>
            <w:tcW w:w="1335" w:type="dxa"/>
            <w:vAlign w:val="center"/>
          </w:tcPr>
          <w:p w14:paraId="63FE9448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2020 Target</w:t>
            </w:r>
          </w:p>
        </w:tc>
        <w:tc>
          <w:tcPr>
            <w:tcW w:w="1335" w:type="dxa"/>
            <w:vAlign w:val="center"/>
          </w:tcPr>
          <w:p w14:paraId="388B70D6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Reporting Frequency</w:t>
            </w:r>
          </w:p>
        </w:tc>
      </w:tr>
      <w:tr w:rsidR="007743CF" w:rsidRPr="001F75EE" w14:paraId="582AB9CD" w14:textId="77777777" w:rsidTr="00EF7CC4">
        <w:trPr>
          <w:trHeight w:val="504"/>
        </w:trPr>
        <w:tc>
          <w:tcPr>
            <w:tcW w:w="2913" w:type="dxa"/>
            <w:vAlign w:val="center"/>
          </w:tcPr>
          <w:p w14:paraId="0DC64631" w14:textId="70E71DBB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eastAsia="Times New Roman" w:hAnsi="Cambria"/>
                <w:sz w:val="22"/>
                <w:szCs w:val="22"/>
              </w:rPr>
              <w:t>Percent of National Highway System (NHS) bridges</w:t>
            </w:r>
            <w:r w:rsidR="00EF2BEB">
              <w:rPr>
                <w:rFonts w:ascii="Cambria" w:eastAsia="Times New Roman" w:hAnsi="Cambria"/>
                <w:sz w:val="22"/>
                <w:szCs w:val="22"/>
              </w:rPr>
              <w:t>, by deck area, in P</w:t>
            </w:r>
            <w:r w:rsidRPr="007743CF">
              <w:rPr>
                <w:rFonts w:ascii="Cambria" w:eastAsia="Times New Roman" w:hAnsi="Cambria"/>
                <w:sz w:val="22"/>
                <w:szCs w:val="22"/>
              </w:rPr>
              <w:t xml:space="preserve">oor condition </w:t>
            </w:r>
            <w:r w:rsidRPr="007743CF">
              <w:rPr>
                <w:rFonts w:ascii="Cambria" w:hAnsi="Cambria"/>
                <w:sz w:val="22"/>
                <w:szCs w:val="22"/>
              </w:rPr>
              <w:t>CY, APG.</w:t>
            </w:r>
          </w:p>
        </w:tc>
        <w:tc>
          <w:tcPr>
            <w:tcW w:w="1564" w:type="dxa"/>
            <w:vAlign w:val="center"/>
          </w:tcPr>
          <w:p w14:paraId="0A7F7383" w14:textId="038B3FA7" w:rsidR="007743CF" w:rsidRPr="007743CF" w:rsidRDefault="00403C6E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Infrastructure</w:t>
            </w:r>
          </w:p>
        </w:tc>
        <w:tc>
          <w:tcPr>
            <w:tcW w:w="1238" w:type="dxa"/>
            <w:vAlign w:val="center"/>
          </w:tcPr>
          <w:p w14:paraId="567F146C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4.5% 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335" w:type="dxa"/>
            <w:vAlign w:val="center"/>
          </w:tcPr>
          <w:p w14:paraId="643F5709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5.0%</w:t>
            </w:r>
          </w:p>
          <w:p w14:paraId="6CFAF25F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or less</w:t>
            </w:r>
          </w:p>
        </w:tc>
        <w:tc>
          <w:tcPr>
            <w:tcW w:w="1335" w:type="dxa"/>
            <w:vAlign w:val="center"/>
          </w:tcPr>
          <w:p w14:paraId="72311B3F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5.0%</w:t>
            </w:r>
          </w:p>
          <w:p w14:paraId="60EF4016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or less</w:t>
            </w:r>
          </w:p>
        </w:tc>
        <w:tc>
          <w:tcPr>
            <w:tcW w:w="1335" w:type="dxa"/>
            <w:vAlign w:val="center"/>
          </w:tcPr>
          <w:p w14:paraId="557A841A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Annual</w:t>
            </w:r>
          </w:p>
        </w:tc>
      </w:tr>
      <w:tr w:rsidR="00403C6E" w:rsidRPr="001F75EE" w14:paraId="1A9B0D94" w14:textId="77777777" w:rsidTr="00EF7CC4">
        <w:trPr>
          <w:trHeight w:val="504"/>
        </w:trPr>
        <w:tc>
          <w:tcPr>
            <w:tcW w:w="2913" w:type="dxa"/>
            <w:vAlign w:val="center"/>
          </w:tcPr>
          <w:p w14:paraId="7A26DDF0" w14:textId="3D45EFE1" w:rsidR="00403C6E" w:rsidRPr="00DB11AE" w:rsidRDefault="00403C6E" w:rsidP="00403C6E">
            <w:pPr>
              <w:spacing w:before="60" w:after="6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</w:rPr>
              <w:t xml:space="preserve">Percent of VMT on NHS pavements in Good </w:t>
            </w:r>
            <w:r w:rsidRPr="007743CF">
              <w:rPr>
                <w:rFonts w:ascii="Cambria" w:eastAsia="Times New Roman" w:hAnsi="Cambria"/>
                <w:sz w:val="22"/>
                <w:szCs w:val="22"/>
              </w:rPr>
              <w:t xml:space="preserve">condition </w:t>
            </w:r>
            <w:r w:rsidRPr="007743CF">
              <w:rPr>
                <w:rFonts w:ascii="Cambria" w:hAnsi="Cambria"/>
                <w:sz w:val="22"/>
                <w:szCs w:val="22"/>
              </w:rPr>
              <w:t>CY, APG.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401D32AE" w14:textId="0F838CAC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26A77">
              <w:rPr>
                <w:rFonts w:ascii="Cambria" w:hAnsi="Cambria"/>
                <w:sz w:val="22"/>
                <w:szCs w:val="22"/>
              </w:rPr>
              <w:t>Infrastructure</w:t>
            </w:r>
          </w:p>
        </w:tc>
        <w:tc>
          <w:tcPr>
            <w:tcW w:w="1238" w:type="dxa"/>
            <w:vAlign w:val="center"/>
          </w:tcPr>
          <w:p w14:paraId="3B2E05AB" w14:textId="0876F296" w:rsidR="00403C6E" w:rsidRPr="00A2705A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2705A">
              <w:rPr>
                <w:rFonts w:ascii="Cambria" w:hAnsi="Cambria"/>
                <w:sz w:val="22"/>
                <w:szCs w:val="22"/>
              </w:rPr>
              <w:t>60.9%</w:t>
            </w:r>
          </w:p>
        </w:tc>
        <w:tc>
          <w:tcPr>
            <w:tcW w:w="1335" w:type="dxa"/>
            <w:vAlign w:val="center"/>
          </w:tcPr>
          <w:p w14:paraId="6F9C3D65" w14:textId="5EDA9B9B" w:rsidR="00403C6E" w:rsidRPr="00A2705A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2705A">
              <w:rPr>
                <w:rFonts w:ascii="Cambria" w:hAnsi="Cambria"/>
                <w:sz w:val="22"/>
                <w:szCs w:val="22"/>
              </w:rPr>
              <w:t>61.6%</w:t>
            </w:r>
          </w:p>
        </w:tc>
        <w:tc>
          <w:tcPr>
            <w:tcW w:w="1335" w:type="dxa"/>
            <w:vAlign w:val="center"/>
          </w:tcPr>
          <w:p w14:paraId="57EC4872" w14:textId="0BF42080" w:rsidR="00403C6E" w:rsidRPr="00A2705A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2705A">
              <w:rPr>
                <w:rFonts w:ascii="Cambria" w:hAnsi="Cambria"/>
                <w:sz w:val="22"/>
                <w:szCs w:val="22"/>
              </w:rPr>
              <w:t>62.3%</w:t>
            </w:r>
          </w:p>
        </w:tc>
        <w:tc>
          <w:tcPr>
            <w:tcW w:w="1335" w:type="dxa"/>
            <w:vAlign w:val="center"/>
          </w:tcPr>
          <w:p w14:paraId="1EA427E4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Annual</w:t>
            </w:r>
          </w:p>
        </w:tc>
      </w:tr>
      <w:tr w:rsidR="00403C6E" w:rsidRPr="001F75EE" w14:paraId="3C04836C" w14:textId="77777777" w:rsidTr="00EF7CC4">
        <w:trPr>
          <w:trHeight w:val="504"/>
        </w:trPr>
        <w:tc>
          <w:tcPr>
            <w:tcW w:w="2909" w:type="dxa"/>
            <w:vAlign w:val="center"/>
          </w:tcPr>
          <w:p w14:paraId="49649FA3" w14:textId="20F85EBD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DB7C7E">
              <w:rPr>
                <w:rFonts w:ascii="Cambria" w:eastAsia="Times New Roman" w:hAnsi="Cambria"/>
                <w:sz w:val="22"/>
                <w:szCs w:val="22"/>
              </w:rPr>
              <w:t xml:space="preserve">Number of States </w:t>
            </w:r>
            <w:r>
              <w:rPr>
                <w:rFonts w:ascii="Cambria" w:eastAsia="Times New Roman" w:hAnsi="Cambria"/>
                <w:sz w:val="22"/>
                <w:szCs w:val="22"/>
              </w:rPr>
              <w:t>with FHWA-certified processes to develop and use</w:t>
            </w:r>
            <w:r w:rsidRPr="00DB7C7E">
              <w:rPr>
                <w:rFonts w:ascii="Cambria" w:eastAsia="Times New Roman" w:hAnsi="Cambria"/>
                <w:sz w:val="22"/>
                <w:szCs w:val="22"/>
              </w:rPr>
              <w:t xml:space="preserve"> State Asses</w:t>
            </w:r>
            <w:r>
              <w:rPr>
                <w:rFonts w:ascii="Cambria" w:eastAsia="Times New Roman" w:hAnsi="Cambria"/>
                <w:sz w:val="22"/>
                <w:szCs w:val="22"/>
              </w:rPr>
              <w:t>sment Management Plans for the NHS</w:t>
            </w:r>
          </w:p>
        </w:tc>
        <w:tc>
          <w:tcPr>
            <w:tcW w:w="1564" w:type="dxa"/>
            <w:vAlign w:val="center"/>
          </w:tcPr>
          <w:p w14:paraId="344D04E3" w14:textId="7047BEB5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626A77">
              <w:rPr>
                <w:rFonts w:ascii="Cambria" w:hAnsi="Cambria"/>
                <w:sz w:val="22"/>
                <w:szCs w:val="22"/>
              </w:rPr>
              <w:t>Infrastructure</w:t>
            </w:r>
          </w:p>
        </w:tc>
        <w:tc>
          <w:tcPr>
            <w:tcW w:w="1238" w:type="dxa"/>
            <w:vAlign w:val="center"/>
          </w:tcPr>
          <w:p w14:paraId="09C135AF" w14:textId="4534698C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  <w:r w:rsidRPr="007743CF">
              <w:rPr>
                <w:rFonts w:ascii="Cambria" w:hAnsi="Cambria"/>
                <w:sz w:val="22"/>
                <w:szCs w:val="22"/>
              </w:rPr>
              <w:t xml:space="preserve"> States initially compliant 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335" w:type="dxa"/>
            <w:vAlign w:val="center"/>
          </w:tcPr>
          <w:p w14:paraId="54353D69" w14:textId="3FEDE3F3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52 States fully compliant</w:t>
            </w:r>
          </w:p>
        </w:tc>
        <w:tc>
          <w:tcPr>
            <w:tcW w:w="1335" w:type="dxa"/>
            <w:vAlign w:val="center"/>
          </w:tcPr>
          <w:p w14:paraId="1981BFE3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52 States fully compliant</w:t>
            </w:r>
          </w:p>
        </w:tc>
        <w:tc>
          <w:tcPr>
            <w:tcW w:w="1335" w:type="dxa"/>
            <w:vAlign w:val="center"/>
          </w:tcPr>
          <w:p w14:paraId="21AB19AB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7743CF" w:rsidRPr="001F75EE" w14:paraId="629070DB" w14:textId="77777777" w:rsidTr="00EF7CC4">
        <w:trPr>
          <w:trHeight w:val="504"/>
        </w:trPr>
        <w:tc>
          <w:tcPr>
            <w:tcW w:w="2909" w:type="dxa"/>
            <w:gridSpan w:val="6"/>
            <w:vAlign w:val="center"/>
          </w:tcPr>
          <w:p w14:paraId="72CDF72D" w14:textId="77777777" w:rsidR="007743CF" w:rsidRPr="00DB11AE" w:rsidRDefault="007743CF" w:rsidP="00DB11AE">
            <w:pPr>
              <w:spacing w:before="60" w:after="60"/>
              <w:rPr>
                <w:rFonts w:ascii="Cambria" w:hAnsi="Cambria"/>
                <w:i/>
                <w:sz w:val="22"/>
                <w:szCs w:val="22"/>
              </w:rPr>
            </w:pPr>
            <w:r w:rsidRPr="00DB11AE">
              <w:rPr>
                <w:rFonts w:ascii="Cambria" w:hAnsi="Cambria"/>
                <w:i/>
                <w:sz w:val="22"/>
                <w:szCs w:val="22"/>
              </w:rPr>
              <w:t>TBD–To be determined; (p) – preliminary estimate; (r) - revised</w:t>
            </w:r>
          </w:p>
        </w:tc>
      </w:tr>
    </w:tbl>
    <w:p w14:paraId="0054BFC9" w14:textId="77777777" w:rsidR="00EF7CC4" w:rsidRDefault="00EF7CC4" w:rsidP="009F3E88">
      <w:pPr>
        <w:spacing w:before="60" w:after="60"/>
        <w:rPr>
          <w:rFonts w:ascii="Cambria" w:hAnsi="Cambria"/>
        </w:rPr>
      </w:pPr>
      <w:bookmarkStart w:id="0" w:name="_Hlk527530267"/>
    </w:p>
    <w:p w14:paraId="5C4EFA22" w14:textId="5FA60D2F" w:rsidR="009C1634" w:rsidRDefault="00347728" w:rsidP="009F3E88">
      <w:pPr>
        <w:spacing w:before="60" w:after="60"/>
        <w:rPr>
          <w:rFonts w:ascii="Cambria" w:hAnsi="Cambria"/>
        </w:rPr>
      </w:pPr>
      <w:r w:rsidRPr="009C1634">
        <w:rPr>
          <w:rFonts w:ascii="Cambria" w:hAnsi="Cambria"/>
        </w:rPr>
        <w:t>Strategic Objective #3</w:t>
      </w:r>
      <w:r w:rsidR="009C1634" w:rsidRPr="009C1634">
        <w:rPr>
          <w:rFonts w:ascii="Cambria" w:hAnsi="Cambria"/>
        </w:rPr>
        <w:t>: Increase freight and people mobility and reliability by building effective partnerships and encouraging targeted investments.</w:t>
      </w:r>
    </w:p>
    <w:tbl>
      <w:tblPr>
        <w:tblStyle w:val="TableGrid"/>
        <w:tblW w:w="9720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530"/>
        <w:gridCol w:w="1260"/>
        <w:gridCol w:w="1241"/>
        <w:gridCol w:w="1338"/>
        <w:gridCol w:w="1404"/>
      </w:tblGrid>
      <w:tr w:rsidR="00EF7CC4" w:rsidRPr="001F75EE" w14:paraId="3AB4F561" w14:textId="77777777" w:rsidTr="00EF7CC4">
        <w:trPr>
          <w:trHeight w:val="504"/>
          <w:tblHeader/>
        </w:trPr>
        <w:tc>
          <w:tcPr>
            <w:tcW w:w="2947" w:type="dxa"/>
            <w:vAlign w:val="center"/>
          </w:tcPr>
          <w:p w14:paraId="5CDED5B9" w14:textId="78F6FF24" w:rsidR="007743CF" w:rsidRPr="007743CF" w:rsidRDefault="00F774CC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Performance </w:t>
            </w:r>
            <w:r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530" w:type="dxa"/>
            <w:vAlign w:val="center"/>
          </w:tcPr>
          <w:p w14:paraId="6BB9FF35" w14:textId="77777777" w:rsidR="007743CF" w:rsidRPr="007743CF" w:rsidRDefault="007743CF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Lead Office</w:t>
            </w:r>
          </w:p>
        </w:tc>
        <w:tc>
          <w:tcPr>
            <w:tcW w:w="1260" w:type="dxa"/>
            <w:vAlign w:val="center"/>
          </w:tcPr>
          <w:p w14:paraId="59808EC3" w14:textId="77777777" w:rsidR="007743CF" w:rsidRPr="007743CF" w:rsidRDefault="007743CF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2018 Baseline</w:t>
            </w:r>
          </w:p>
        </w:tc>
        <w:tc>
          <w:tcPr>
            <w:tcW w:w="1241" w:type="dxa"/>
            <w:vAlign w:val="center"/>
          </w:tcPr>
          <w:p w14:paraId="33F1A815" w14:textId="77777777" w:rsidR="007743CF" w:rsidRPr="007743CF" w:rsidRDefault="007743CF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2019 Target</w:t>
            </w:r>
          </w:p>
        </w:tc>
        <w:tc>
          <w:tcPr>
            <w:tcW w:w="1338" w:type="dxa"/>
            <w:vAlign w:val="center"/>
          </w:tcPr>
          <w:p w14:paraId="58C9EDEB" w14:textId="77777777" w:rsidR="007743CF" w:rsidRPr="007743CF" w:rsidRDefault="007743CF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2020 Target</w:t>
            </w:r>
          </w:p>
        </w:tc>
        <w:tc>
          <w:tcPr>
            <w:tcW w:w="1404" w:type="dxa"/>
            <w:vAlign w:val="center"/>
          </w:tcPr>
          <w:p w14:paraId="55B9245D" w14:textId="77777777" w:rsidR="007743CF" w:rsidRPr="007743CF" w:rsidRDefault="007743CF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Reporting Frequency</w:t>
            </w:r>
          </w:p>
        </w:tc>
      </w:tr>
      <w:tr w:rsidR="00EF7CC4" w:rsidRPr="001F75EE" w14:paraId="60E02C6E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4B364BCD" w14:textId="3BBD7183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eastAsia="Times New Roman" w:hAnsi="Cambria"/>
                <w:sz w:val="22"/>
                <w:szCs w:val="22"/>
              </w:rPr>
              <w:t>Travel time reliability, as the percent of person-mile</w:t>
            </w:r>
            <w:r>
              <w:rPr>
                <w:rFonts w:ascii="Cambria" w:eastAsia="Times New Roman" w:hAnsi="Cambria"/>
                <w:sz w:val="22"/>
                <w:szCs w:val="22"/>
              </w:rPr>
              <w:t>s traveled that are reliable on</w:t>
            </w:r>
            <w:r w:rsidR="00EF2BEB">
              <w:rPr>
                <w:rFonts w:ascii="Cambria" w:eastAsia="Times New Roman" w:hAnsi="Cambria"/>
                <w:sz w:val="22"/>
                <w:szCs w:val="22"/>
              </w:rPr>
              <w:t xml:space="preserve"> the interstate</w:t>
            </w:r>
            <w:r>
              <w:rPr>
                <w:rFonts w:ascii="Cambria" w:eastAsia="Times New Roman" w:hAnsi="Cambria"/>
                <w:sz w:val="22"/>
                <w:szCs w:val="22"/>
              </w:rPr>
              <w:t>, CY.</w:t>
            </w:r>
          </w:p>
        </w:tc>
        <w:tc>
          <w:tcPr>
            <w:tcW w:w="1530" w:type="dxa"/>
            <w:vAlign w:val="center"/>
          </w:tcPr>
          <w:p w14:paraId="7D06CED6" w14:textId="29FE1A7C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21E6D">
              <w:rPr>
                <w:rFonts w:ascii="Cambria" w:hAnsi="Cambria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vAlign w:val="center"/>
          </w:tcPr>
          <w:p w14:paraId="0939E001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83.7% </w:t>
            </w:r>
            <w:r w:rsidRPr="008A6EAD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241" w:type="dxa"/>
            <w:vAlign w:val="center"/>
          </w:tcPr>
          <w:p w14:paraId="0C534E5F" w14:textId="3B28758B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338" w:type="dxa"/>
            <w:vAlign w:val="center"/>
          </w:tcPr>
          <w:p w14:paraId="72F25B57" w14:textId="25829E83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404" w:type="dxa"/>
            <w:vAlign w:val="center"/>
          </w:tcPr>
          <w:p w14:paraId="56A707B9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Annual</w:t>
            </w:r>
          </w:p>
        </w:tc>
      </w:tr>
      <w:tr w:rsidR="00EF7CC4" w:rsidRPr="001F75EE" w14:paraId="335A09A1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13156B34" w14:textId="17193E0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Truck t</w:t>
            </w:r>
            <w:r w:rsidR="00EF2BEB">
              <w:rPr>
                <w:rFonts w:ascii="Cambria" w:hAnsi="Cambria"/>
                <w:sz w:val="22"/>
                <w:szCs w:val="22"/>
              </w:rPr>
              <w:t>ravel time reliability index on the</w:t>
            </w:r>
            <w:r w:rsidRPr="007743CF">
              <w:rPr>
                <w:rFonts w:ascii="Cambria" w:hAnsi="Cambria"/>
                <w:sz w:val="22"/>
                <w:szCs w:val="22"/>
              </w:rPr>
              <w:t xml:space="preserve"> interstate</w:t>
            </w:r>
            <w:r>
              <w:rPr>
                <w:rFonts w:ascii="Cambria" w:hAnsi="Cambria"/>
                <w:sz w:val="22"/>
                <w:szCs w:val="22"/>
              </w:rPr>
              <w:t>, CY</w:t>
            </w:r>
            <w:r w:rsidRPr="007743C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37BE6B4E" w14:textId="146C1B20" w:rsidR="00403C6E" w:rsidRDefault="00403C6E" w:rsidP="00403C6E">
            <w:pPr>
              <w:spacing w:before="60" w:after="60"/>
              <w:jc w:val="center"/>
            </w:pPr>
            <w:r w:rsidRPr="00721E6D">
              <w:rPr>
                <w:rFonts w:ascii="Cambria" w:hAnsi="Cambria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vAlign w:val="center"/>
          </w:tcPr>
          <w:p w14:paraId="1F2758C5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1.36 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241" w:type="dxa"/>
            <w:vAlign w:val="center"/>
          </w:tcPr>
          <w:p w14:paraId="43853158" w14:textId="0777E32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338" w:type="dxa"/>
            <w:vAlign w:val="center"/>
          </w:tcPr>
          <w:p w14:paraId="67C2C426" w14:textId="6DD7AA23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404" w:type="dxa"/>
            <w:vAlign w:val="center"/>
          </w:tcPr>
          <w:p w14:paraId="35EBD513" w14:textId="0305E49F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Annual</w:t>
            </w:r>
          </w:p>
        </w:tc>
      </w:tr>
      <w:tr w:rsidR="00E75FC2" w:rsidRPr="001F75EE" w14:paraId="17738D94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20302328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eastAsia="Times New Roman" w:hAnsi="Cambria"/>
                <w:sz w:val="22"/>
                <w:szCs w:val="22"/>
              </w:rPr>
              <w:t xml:space="preserve">Percent of authorized </w:t>
            </w:r>
            <w:r w:rsidRPr="007743CF">
              <w:rPr>
                <w:rFonts w:ascii="Cambria" w:hAnsi="Cambria"/>
                <w:sz w:val="22"/>
                <w:szCs w:val="22"/>
              </w:rPr>
              <w:t>National Highway Freight Program (</w:t>
            </w:r>
            <w:r w:rsidRPr="007743CF">
              <w:rPr>
                <w:rFonts w:ascii="Cambria" w:eastAsia="Times New Roman" w:hAnsi="Cambria"/>
                <w:sz w:val="22"/>
                <w:szCs w:val="22"/>
              </w:rPr>
              <w:t>NHFP) funding obligated for projects identified in States freight plans.</w:t>
            </w:r>
          </w:p>
        </w:tc>
        <w:tc>
          <w:tcPr>
            <w:tcW w:w="1530" w:type="dxa"/>
            <w:vAlign w:val="center"/>
          </w:tcPr>
          <w:p w14:paraId="71C17BD0" w14:textId="0B2C5E0C" w:rsidR="00403C6E" w:rsidRDefault="00403C6E" w:rsidP="00403C6E">
            <w:pPr>
              <w:spacing w:before="60" w:after="60"/>
              <w:jc w:val="center"/>
            </w:pPr>
            <w:r w:rsidRPr="00721E6D">
              <w:rPr>
                <w:rFonts w:ascii="Cambria" w:hAnsi="Cambria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vAlign w:val="center"/>
          </w:tcPr>
          <w:p w14:paraId="26B7C2F1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75%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2BE4C13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75%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9795B68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80%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0FB46AD8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E75FC2" w:rsidRPr="001F75EE" w14:paraId="3FDE93CB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470B2794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eastAsia="Times New Roman" w:hAnsi="Cambria"/>
                <w:sz w:val="22"/>
                <w:szCs w:val="22"/>
              </w:rPr>
              <w:t>Number of States and Metropolitan Planning Organizations (MPOs) that have a plan and/or process in place to strategically guide investments for Transportation Systems Management and Operations (TSMO).</w:t>
            </w:r>
          </w:p>
        </w:tc>
        <w:tc>
          <w:tcPr>
            <w:tcW w:w="1530" w:type="dxa"/>
            <w:vAlign w:val="center"/>
          </w:tcPr>
          <w:p w14:paraId="11FA372E" w14:textId="3EE01BEA" w:rsidR="00403C6E" w:rsidRDefault="00403C6E" w:rsidP="00403C6E">
            <w:pPr>
              <w:spacing w:before="60" w:after="60"/>
              <w:jc w:val="center"/>
            </w:pPr>
            <w:r w:rsidRPr="00721E6D">
              <w:rPr>
                <w:rFonts w:ascii="Cambria" w:hAnsi="Cambria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vAlign w:val="center"/>
          </w:tcPr>
          <w:p w14:paraId="47238E17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3A0EF2E7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6A896CFE" w14:textId="77777777" w:rsidR="00403C6E" w:rsidRPr="007743CF" w:rsidRDefault="00403C6E" w:rsidP="00403C6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35274DC0" w14:textId="77777777" w:rsidR="00403C6E" w:rsidRPr="007743CF" w:rsidRDefault="00403C6E" w:rsidP="00403C6E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7743CF" w:rsidRPr="001F75EE" w14:paraId="0C505D6F" w14:textId="77777777" w:rsidTr="00EF7CC4">
        <w:trPr>
          <w:trHeight w:val="504"/>
        </w:trPr>
        <w:tc>
          <w:tcPr>
            <w:tcW w:w="9720" w:type="dxa"/>
            <w:gridSpan w:val="6"/>
            <w:vAlign w:val="center"/>
          </w:tcPr>
          <w:p w14:paraId="58D8B2CE" w14:textId="77777777" w:rsidR="007743CF" w:rsidRPr="00DB11AE" w:rsidRDefault="007743CF" w:rsidP="00DB11AE">
            <w:pPr>
              <w:spacing w:before="60" w:after="60"/>
              <w:rPr>
                <w:rFonts w:ascii="Cambria" w:hAnsi="Cambria"/>
                <w:i/>
              </w:rPr>
            </w:pPr>
            <w:r w:rsidRPr="00DB11AE">
              <w:rPr>
                <w:rFonts w:ascii="Cambria" w:hAnsi="Cambria"/>
                <w:i/>
              </w:rPr>
              <w:t>TBD–To be determined; (p) – preliminary estimate</w:t>
            </w:r>
            <w:r w:rsidR="008A6EAD">
              <w:rPr>
                <w:rFonts w:ascii="Cambria" w:hAnsi="Cambria"/>
                <w:i/>
              </w:rPr>
              <w:t xml:space="preserve"> based on 2017 data</w:t>
            </w:r>
            <w:r w:rsidRPr="00DB11AE">
              <w:rPr>
                <w:rFonts w:ascii="Cambria" w:hAnsi="Cambria"/>
                <w:i/>
              </w:rPr>
              <w:t>; (r) - revised</w:t>
            </w:r>
          </w:p>
        </w:tc>
      </w:tr>
      <w:bookmarkEnd w:id="0"/>
    </w:tbl>
    <w:p w14:paraId="7893C545" w14:textId="77777777" w:rsidR="00EF2BEB" w:rsidRDefault="00EF2BEB" w:rsidP="009F3E88">
      <w:pPr>
        <w:spacing w:before="60" w:after="60"/>
        <w:rPr>
          <w:rFonts w:ascii="Cambria" w:hAnsi="Cambria"/>
        </w:rPr>
      </w:pPr>
    </w:p>
    <w:p w14:paraId="021D2194" w14:textId="6D6C8E16" w:rsidR="00BF4645" w:rsidRDefault="00BF4645" w:rsidP="009F3E8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 w:rsidR="00347728">
        <w:rPr>
          <w:rFonts w:ascii="Cambria" w:hAnsi="Cambria"/>
        </w:rPr>
        <w:t>Innovation</w:t>
      </w:r>
    </w:p>
    <w:p w14:paraId="329DCB5C" w14:textId="6C13EC8B" w:rsidR="00347728" w:rsidRDefault="00347728" w:rsidP="009F3E88">
      <w:pPr>
        <w:spacing w:before="60" w:after="60"/>
        <w:rPr>
          <w:rFonts w:ascii="Cambria" w:hAnsi="Cambria"/>
        </w:rPr>
      </w:pPr>
      <w:bookmarkStart w:id="1" w:name="_Hlk529866219"/>
      <w:r>
        <w:rPr>
          <w:rFonts w:ascii="Cambria" w:hAnsi="Cambria"/>
        </w:rPr>
        <w:t>Strategic Objective #4</w:t>
      </w:r>
      <w:r w:rsidR="00F91078">
        <w:rPr>
          <w:rFonts w:ascii="Cambria" w:hAnsi="Cambria"/>
        </w:rPr>
        <w:t xml:space="preserve">: </w:t>
      </w:r>
      <w:r w:rsidR="00F91078" w:rsidRPr="00F91078">
        <w:rPr>
          <w:rFonts w:ascii="Cambria" w:hAnsi="Cambria"/>
        </w:rPr>
        <w:t>Enhance the safety and performance of the Nation’s transportation system through research and by accelerating development and deployment of promising innovative technologies and practices.</w:t>
      </w:r>
    </w:p>
    <w:p w14:paraId="53668AC7" w14:textId="77777777" w:rsidR="00403C6E" w:rsidRDefault="00403C6E" w:rsidP="009F3E88">
      <w:pPr>
        <w:spacing w:before="60" w:after="60"/>
        <w:rPr>
          <w:rFonts w:ascii="Cambria" w:hAnsi="Cambria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1530"/>
        <w:gridCol w:w="1535"/>
        <w:gridCol w:w="1236"/>
        <w:gridCol w:w="1236"/>
        <w:gridCol w:w="1236"/>
      </w:tblGrid>
      <w:tr w:rsidR="005D3461" w:rsidRPr="001F75EE" w14:paraId="381F0672" w14:textId="77777777" w:rsidTr="00EF7CC4">
        <w:trPr>
          <w:trHeight w:val="504"/>
          <w:tblHeader/>
        </w:trPr>
        <w:tc>
          <w:tcPr>
            <w:tcW w:w="2947" w:type="dxa"/>
            <w:vAlign w:val="center"/>
          </w:tcPr>
          <w:p w14:paraId="6A8F62C9" w14:textId="3F6BB5B2" w:rsidR="005D3461" w:rsidRPr="007743CF" w:rsidRDefault="00F774CC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Performance </w:t>
            </w:r>
            <w:r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530" w:type="dxa"/>
            <w:vAlign w:val="center"/>
          </w:tcPr>
          <w:p w14:paraId="19CDAC1D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Lead Office</w:t>
            </w:r>
          </w:p>
        </w:tc>
        <w:tc>
          <w:tcPr>
            <w:tcW w:w="1535" w:type="dxa"/>
            <w:vAlign w:val="center"/>
          </w:tcPr>
          <w:p w14:paraId="02508804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2018 Baseline</w:t>
            </w:r>
          </w:p>
        </w:tc>
        <w:tc>
          <w:tcPr>
            <w:tcW w:w="1236" w:type="dxa"/>
            <w:vAlign w:val="center"/>
          </w:tcPr>
          <w:p w14:paraId="667EACC2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2019 Target</w:t>
            </w:r>
          </w:p>
        </w:tc>
        <w:tc>
          <w:tcPr>
            <w:tcW w:w="1236" w:type="dxa"/>
            <w:vAlign w:val="center"/>
          </w:tcPr>
          <w:p w14:paraId="24B68E3C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2020 Target</w:t>
            </w:r>
          </w:p>
        </w:tc>
        <w:tc>
          <w:tcPr>
            <w:tcW w:w="1236" w:type="dxa"/>
            <w:vAlign w:val="center"/>
          </w:tcPr>
          <w:p w14:paraId="0A7B52AA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Reporting Frequency</w:t>
            </w:r>
          </w:p>
        </w:tc>
      </w:tr>
      <w:tr w:rsidR="00205A54" w:rsidRPr="001F75EE" w14:paraId="1B9C00CB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51A48286" w14:textId="25190538" w:rsidR="00205A54" w:rsidRPr="00AC4883" w:rsidRDefault="00205A54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 xml:space="preserve">Number of research projects completed and published. </w:t>
            </w:r>
          </w:p>
        </w:tc>
        <w:tc>
          <w:tcPr>
            <w:tcW w:w="1530" w:type="dxa"/>
            <w:vAlign w:val="center"/>
          </w:tcPr>
          <w:p w14:paraId="2F3034CF" w14:textId="7BAF2909" w:rsidR="00205A54" w:rsidRPr="00AC4883" w:rsidRDefault="00403C6E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Research, Development and Technology</w:t>
            </w:r>
          </w:p>
        </w:tc>
        <w:tc>
          <w:tcPr>
            <w:tcW w:w="1535" w:type="dxa"/>
            <w:vAlign w:val="center"/>
          </w:tcPr>
          <w:p w14:paraId="6766B2C7" w14:textId="7B40BB7E" w:rsidR="00205A54" w:rsidRPr="00AC4883" w:rsidRDefault="00205A54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236" w:type="dxa"/>
            <w:vAlign w:val="center"/>
          </w:tcPr>
          <w:p w14:paraId="69E5645E" w14:textId="7F916F9C" w:rsidR="00205A54" w:rsidRPr="00AC4883" w:rsidRDefault="00205A54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236" w:type="dxa"/>
            <w:vAlign w:val="center"/>
          </w:tcPr>
          <w:p w14:paraId="20484F74" w14:textId="4F68B87E" w:rsidR="00205A54" w:rsidRPr="00AC4883" w:rsidRDefault="00205A54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TBD</w:t>
            </w:r>
          </w:p>
        </w:tc>
        <w:tc>
          <w:tcPr>
            <w:tcW w:w="1236" w:type="dxa"/>
            <w:vAlign w:val="center"/>
          </w:tcPr>
          <w:p w14:paraId="111CDECC" w14:textId="31421197" w:rsidR="00205A54" w:rsidRPr="00AC4883" w:rsidRDefault="00205A54" w:rsidP="009F3E88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205A54" w:rsidRPr="001F75EE" w14:paraId="423418B8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19471038" w14:textId="77777777" w:rsidR="00205A54" w:rsidRPr="00AC4883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Percent of State and Federal Transportation Innovation Councils that have a Functioning-to-Sustained maturity level for a formal innovation process and a communication plan.</w:t>
            </w:r>
          </w:p>
        </w:tc>
        <w:tc>
          <w:tcPr>
            <w:tcW w:w="1530" w:type="dxa"/>
            <w:vAlign w:val="center"/>
          </w:tcPr>
          <w:p w14:paraId="5645EEC9" w14:textId="0A55F8FC" w:rsidR="00205A54" w:rsidRPr="00AC4883" w:rsidRDefault="00EF7CC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Innovative Program Delivery</w:t>
            </w:r>
          </w:p>
        </w:tc>
        <w:tc>
          <w:tcPr>
            <w:tcW w:w="1535" w:type="dxa"/>
            <w:vAlign w:val="center"/>
          </w:tcPr>
          <w:p w14:paraId="53E688EF" w14:textId="453EB79F" w:rsidR="00205A54" w:rsidRPr="00AC4883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28%</w:t>
            </w:r>
          </w:p>
        </w:tc>
        <w:tc>
          <w:tcPr>
            <w:tcW w:w="1236" w:type="dxa"/>
            <w:vAlign w:val="center"/>
          </w:tcPr>
          <w:p w14:paraId="4E201296" w14:textId="77777777" w:rsidR="00205A54" w:rsidRPr="00AC4883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40%</w:t>
            </w:r>
          </w:p>
        </w:tc>
        <w:tc>
          <w:tcPr>
            <w:tcW w:w="1236" w:type="dxa"/>
            <w:vAlign w:val="center"/>
          </w:tcPr>
          <w:p w14:paraId="3F75F58F" w14:textId="385F1B1A" w:rsidR="00205A54" w:rsidRPr="00AC4883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50%</w:t>
            </w:r>
          </w:p>
        </w:tc>
        <w:tc>
          <w:tcPr>
            <w:tcW w:w="1236" w:type="dxa"/>
            <w:vAlign w:val="center"/>
          </w:tcPr>
          <w:p w14:paraId="2B5A4C76" w14:textId="77777777" w:rsidR="00205A54" w:rsidRPr="00AC4883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AC4883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205A54" w:rsidRPr="001F75EE" w14:paraId="4D44B74C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63A51A1E" w14:textId="77777777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Number of States and local agencies that have used a federal innovative finance tool in the current year.</w:t>
            </w:r>
          </w:p>
        </w:tc>
        <w:tc>
          <w:tcPr>
            <w:tcW w:w="1530" w:type="dxa"/>
            <w:vAlign w:val="center"/>
          </w:tcPr>
          <w:p w14:paraId="4FE7D17B" w14:textId="79E7C50D" w:rsidR="00205A54" w:rsidRDefault="00403C6E" w:rsidP="00205A54">
            <w:pPr>
              <w:spacing w:before="60" w:after="6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Innovative Program Delivery</w:t>
            </w:r>
          </w:p>
        </w:tc>
        <w:tc>
          <w:tcPr>
            <w:tcW w:w="1535" w:type="dxa"/>
            <w:vAlign w:val="center"/>
          </w:tcPr>
          <w:p w14:paraId="0B5C3AB2" w14:textId="77777777" w:rsidR="00205A54" w:rsidRPr="00C67A42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67A42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236" w:type="dxa"/>
            <w:vAlign w:val="center"/>
          </w:tcPr>
          <w:p w14:paraId="6C447E6D" w14:textId="77777777" w:rsidR="00205A54" w:rsidRPr="00C67A42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67A42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236" w:type="dxa"/>
            <w:vAlign w:val="center"/>
          </w:tcPr>
          <w:p w14:paraId="1AB30B8B" w14:textId="77777777" w:rsidR="00205A54" w:rsidRPr="00C67A42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67A42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236" w:type="dxa"/>
            <w:vAlign w:val="center"/>
          </w:tcPr>
          <w:p w14:paraId="61CE955B" w14:textId="77777777" w:rsidR="00205A54" w:rsidRPr="00C67A42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C67A42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205A54" w:rsidRPr="001F75EE" w14:paraId="0F596869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6038C662" w14:textId="76F40475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Percent of Every Day Counts (EDC)</w:t>
            </w:r>
            <w:r>
              <w:rPr>
                <w:rFonts w:ascii="Cambria" w:hAnsi="Cambria"/>
                <w:sz w:val="22"/>
                <w:szCs w:val="22"/>
              </w:rPr>
              <w:t xml:space="preserve"> Round 5</w:t>
            </w:r>
            <w:r w:rsidRPr="007743CF">
              <w:rPr>
                <w:rFonts w:ascii="Cambria" w:hAnsi="Cambria"/>
                <w:sz w:val="22"/>
                <w:szCs w:val="22"/>
              </w:rPr>
              <w:t xml:space="preserve"> innovations that met their goals, CY.</w:t>
            </w:r>
          </w:p>
        </w:tc>
        <w:tc>
          <w:tcPr>
            <w:tcW w:w="1530" w:type="dxa"/>
            <w:vAlign w:val="center"/>
          </w:tcPr>
          <w:p w14:paraId="7D1F8D64" w14:textId="4D3F6DFB" w:rsidR="00205A54" w:rsidRDefault="00403C6E" w:rsidP="00205A54">
            <w:pPr>
              <w:spacing w:before="60" w:after="6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Innovative Program Delivery</w:t>
            </w:r>
          </w:p>
        </w:tc>
        <w:tc>
          <w:tcPr>
            <w:tcW w:w="1535" w:type="dxa"/>
            <w:vAlign w:val="center"/>
          </w:tcPr>
          <w:p w14:paraId="3E8035D5" w14:textId="77777777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52% 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(p)</w:t>
            </w:r>
          </w:p>
        </w:tc>
        <w:tc>
          <w:tcPr>
            <w:tcW w:w="1236" w:type="dxa"/>
            <w:vAlign w:val="center"/>
          </w:tcPr>
          <w:p w14:paraId="579DF3A2" w14:textId="1FE049BF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25%</w:t>
            </w:r>
          </w:p>
        </w:tc>
        <w:tc>
          <w:tcPr>
            <w:tcW w:w="1236" w:type="dxa"/>
            <w:vAlign w:val="center"/>
          </w:tcPr>
          <w:p w14:paraId="61988416" w14:textId="6394A024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75%</w:t>
            </w:r>
          </w:p>
        </w:tc>
        <w:tc>
          <w:tcPr>
            <w:tcW w:w="1236" w:type="dxa"/>
            <w:vAlign w:val="center"/>
          </w:tcPr>
          <w:p w14:paraId="331031F6" w14:textId="77777777" w:rsidR="00205A54" w:rsidRPr="007743CF" w:rsidRDefault="00205A54" w:rsidP="00205A54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Semi-annual</w:t>
            </w:r>
          </w:p>
        </w:tc>
      </w:tr>
      <w:tr w:rsidR="00205A54" w:rsidRPr="001F75EE" w14:paraId="5638060D" w14:textId="77777777" w:rsidTr="00EF7CC4">
        <w:trPr>
          <w:trHeight w:val="504"/>
        </w:trPr>
        <w:tc>
          <w:tcPr>
            <w:tcW w:w="9720" w:type="dxa"/>
            <w:gridSpan w:val="6"/>
            <w:vAlign w:val="center"/>
          </w:tcPr>
          <w:p w14:paraId="740746E7" w14:textId="37B833EB" w:rsidR="00205A54" w:rsidRPr="00DB11AE" w:rsidRDefault="00205A54" w:rsidP="00205A54">
            <w:pPr>
              <w:spacing w:before="60" w:after="60"/>
              <w:rPr>
                <w:rFonts w:ascii="Cambria" w:hAnsi="Cambria"/>
                <w:i/>
                <w:sz w:val="22"/>
                <w:szCs w:val="22"/>
              </w:rPr>
            </w:pPr>
            <w:r w:rsidRPr="00DB11AE">
              <w:rPr>
                <w:rFonts w:ascii="Cambria" w:hAnsi="Cambria"/>
                <w:i/>
                <w:sz w:val="22"/>
                <w:szCs w:val="22"/>
              </w:rPr>
              <w:t xml:space="preserve">TBD–To be determined; (p) – preliminary </w:t>
            </w:r>
            <w:r>
              <w:rPr>
                <w:rFonts w:ascii="Cambria" w:hAnsi="Cambria"/>
                <w:i/>
                <w:sz w:val="22"/>
                <w:szCs w:val="22"/>
              </w:rPr>
              <w:t>report for Round 4 EDC innovations</w:t>
            </w:r>
            <w:r w:rsidRPr="00DB11AE">
              <w:rPr>
                <w:rFonts w:ascii="Cambria" w:hAnsi="Cambria"/>
                <w:i/>
                <w:sz w:val="22"/>
                <w:szCs w:val="22"/>
              </w:rPr>
              <w:t>; (r) - revised</w:t>
            </w:r>
          </w:p>
        </w:tc>
      </w:tr>
    </w:tbl>
    <w:p w14:paraId="3E4CFD8F" w14:textId="77777777" w:rsidR="00DB11AE" w:rsidRDefault="00DB11AE" w:rsidP="009F3E88">
      <w:pPr>
        <w:spacing w:before="60" w:after="60"/>
        <w:rPr>
          <w:rFonts w:ascii="Cambria" w:hAnsi="Cambria"/>
        </w:rPr>
      </w:pPr>
    </w:p>
    <w:bookmarkEnd w:id="1"/>
    <w:p w14:paraId="2AA832D0" w14:textId="77777777" w:rsidR="009C1634" w:rsidRDefault="009C1634" w:rsidP="009F3E8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 w:rsidR="00347728">
        <w:rPr>
          <w:rFonts w:ascii="Cambria" w:hAnsi="Cambria"/>
        </w:rPr>
        <w:t>Accountability</w:t>
      </w:r>
    </w:p>
    <w:p w14:paraId="11B22391" w14:textId="5DF0C075" w:rsidR="00347728" w:rsidRDefault="00347728" w:rsidP="009F3E88">
      <w:pPr>
        <w:spacing w:before="60" w:after="60"/>
        <w:rPr>
          <w:rFonts w:ascii="Cambria" w:hAnsi="Cambria"/>
        </w:rPr>
      </w:pPr>
      <w:r>
        <w:rPr>
          <w:rFonts w:ascii="Cambria" w:hAnsi="Cambria"/>
        </w:rPr>
        <w:t>Strategic Objective #5</w:t>
      </w:r>
      <w:r w:rsidR="00F91078" w:rsidRPr="00F91078">
        <w:rPr>
          <w:rFonts w:ascii="Cambria" w:hAnsi="Cambria"/>
        </w:rPr>
        <w:t>: Modernize or eliminate obsolete, unnecessary, or duplicative policies and regulations to accelerate all phases of project delivery, stimulate innovation, and reduce administrative burdens.</w:t>
      </w:r>
    </w:p>
    <w:p w14:paraId="78141E4B" w14:textId="77777777" w:rsidR="00403C6E" w:rsidRDefault="00403C6E" w:rsidP="009F3E88">
      <w:pPr>
        <w:spacing w:before="60" w:after="60"/>
        <w:rPr>
          <w:rFonts w:ascii="Cambria" w:hAnsi="Cambria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1530"/>
        <w:gridCol w:w="1530"/>
        <w:gridCol w:w="1260"/>
        <w:gridCol w:w="1060"/>
        <w:gridCol w:w="1393"/>
      </w:tblGrid>
      <w:tr w:rsidR="005D3461" w:rsidRPr="001F75EE" w14:paraId="2FA5D73F" w14:textId="77777777" w:rsidTr="00EF7CC4">
        <w:trPr>
          <w:trHeight w:val="504"/>
          <w:tblHeader/>
        </w:trPr>
        <w:tc>
          <w:tcPr>
            <w:tcW w:w="2947" w:type="dxa"/>
            <w:vAlign w:val="center"/>
          </w:tcPr>
          <w:p w14:paraId="7A0B2885" w14:textId="31F68D03" w:rsidR="005D3461" w:rsidRPr="002A17CA" w:rsidRDefault="00F774CC" w:rsidP="005D3461">
            <w:pPr>
              <w:spacing w:before="60" w:after="60"/>
              <w:jc w:val="center"/>
              <w:rPr>
                <w:rFonts w:ascii="Cambria" w:hAnsi="Cambria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Performance </w:t>
            </w:r>
            <w:r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530" w:type="dxa"/>
            <w:vAlign w:val="center"/>
          </w:tcPr>
          <w:p w14:paraId="191E7506" w14:textId="77777777" w:rsidR="005D3461" w:rsidRPr="002A17CA" w:rsidRDefault="005D3461" w:rsidP="005D3461">
            <w:pPr>
              <w:spacing w:before="60" w:after="60"/>
              <w:jc w:val="center"/>
              <w:rPr>
                <w:rFonts w:ascii="Cambria" w:hAnsi="Cambria"/>
              </w:rPr>
            </w:pPr>
            <w:r w:rsidRPr="002A17CA">
              <w:rPr>
                <w:rFonts w:ascii="Cambria" w:hAnsi="Cambria"/>
              </w:rPr>
              <w:t>Lead Office</w:t>
            </w:r>
          </w:p>
        </w:tc>
        <w:tc>
          <w:tcPr>
            <w:tcW w:w="1530" w:type="dxa"/>
            <w:vAlign w:val="center"/>
          </w:tcPr>
          <w:p w14:paraId="407C20A6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2018 Baseline</w:t>
            </w:r>
          </w:p>
        </w:tc>
        <w:tc>
          <w:tcPr>
            <w:tcW w:w="1260" w:type="dxa"/>
            <w:vAlign w:val="center"/>
          </w:tcPr>
          <w:p w14:paraId="74FD665B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2019 Target</w:t>
            </w:r>
          </w:p>
        </w:tc>
        <w:tc>
          <w:tcPr>
            <w:tcW w:w="1060" w:type="dxa"/>
            <w:vAlign w:val="center"/>
          </w:tcPr>
          <w:p w14:paraId="384C9A09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2020 Target</w:t>
            </w:r>
          </w:p>
        </w:tc>
        <w:tc>
          <w:tcPr>
            <w:tcW w:w="1393" w:type="dxa"/>
            <w:vAlign w:val="center"/>
          </w:tcPr>
          <w:p w14:paraId="6DBE112D" w14:textId="77777777" w:rsidR="005D3461" w:rsidRPr="007743CF" w:rsidRDefault="005D3461" w:rsidP="005D3461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>Reporting Frequency</w:t>
            </w:r>
          </w:p>
        </w:tc>
      </w:tr>
      <w:tr w:rsidR="007743CF" w:rsidRPr="001F75EE" w14:paraId="7B5D7306" w14:textId="77777777" w:rsidTr="00EF7CC4">
        <w:trPr>
          <w:trHeight w:val="504"/>
        </w:trPr>
        <w:tc>
          <w:tcPr>
            <w:tcW w:w="2947" w:type="dxa"/>
            <w:vAlign w:val="center"/>
          </w:tcPr>
          <w:p w14:paraId="083F54F2" w14:textId="77777777" w:rsidR="007743CF" w:rsidRPr="002A17CA" w:rsidRDefault="007743CF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2A17CA">
              <w:rPr>
                <w:rFonts w:ascii="Cambria" w:hAnsi="Cambria"/>
              </w:rPr>
              <w:t>Number of deregulatory actions taken annually, APG.</w:t>
            </w:r>
          </w:p>
        </w:tc>
        <w:tc>
          <w:tcPr>
            <w:tcW w:w="1530" w:type="dxa"/>
            <w:vAlign w:val="center"/>
          </w:tcPr>
          <w:p w14:paraId="00AA7F37" w14:textId="7233255E" w:rsidR="007743CF" w:rsidRPr="002A17CA" w:rsidRDefault="005C5F9D" w:rsidP="009F3E88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Chief Counsel</w:t>
            </w:r>
          </w:p>
        </w:tc>
        <w:tc>
          <w:tcPr>
            <w:tcW w:w="1530" w:type="dxa"/>
            <w:vAlign w:val="center"/>
          </w:tcPr>
          <w:p w14:paraId="27DF1668" w14:textId="31D68A1A" w:rsidR="007743CF" w:rsidRPr="002A17CA" w:rsidRDefault="007743CF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2A17CA">
              <w:rPr>
                <w:rFonts w:ascii="Cambria" w:hAnsi="Cambria"/>
              </w:rPr>
              <w:t>5</w:t>
            </w:r>
          </w:p>
        </w:tc>
        <w:tc>
          <w:tcPr>
            <w:tcW w:w="1260" w:type="dxa"/>
            <w:vAlign w:val="center"/>
          </w:tcPr>
          <w:p w14:paraId="346B5AD1" w14:textId="1BE3890E" w:rsidR="007743CF" w:rsidRPr="002A17CA" w:rsidRDefault="00B32200" w:rsidP="009F3E88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060" w:type="dxa"/>
            <w:vAlign w:val="center"/>
          </w:tcPr>
          <w:p w14:paraId="1587CA66" w14:textId="765EF6C7" w:rsidR="007743CF" w:rsidRPr="002A17CA" w:rsidRDefault="00755A72" w:rsidP="00755A72">
            <w:pPr>
              <w:spacing w:before="60" w:after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3" w:type="dxa"/>
            <w:vAlign w:val="center"/>
          </w:tcPr>
          <w:p w14:paraId="156C6B4F" w14:textId="77777777" w:rsidR="007743CF" w:rsidRPr="002A17CA" w:rsidRDefault="007743CF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2A17CA">
              <w:rPr>
                <w:rFonts w:ascii="Cambria" w:hAnsi="Cambria"/>
              </w:rPr>
              <w:t>Semi-annual</w:t>
            </w:r>
          </w:p>
        </w:tc>
      </w:tr>
      <w:tr w:rsidR="007743CF" w:rsidRPr="001F75EE" w14:paraId="2790BEDE" w14:textId="77777777" w:rsidTr="00EF7CC4">
        <w:trPr>
          <w:trHeight w:val="504"/>
        </w:trPr>
        <w:tc>
          <w:tcPr>
            <w:tcW w:w="9720" w:type="dxa"/>
            <w:gridSpan w:val="6"/>
            <w:vAlign w:val="center"/>
          </w:tcPr>
          <w:p w14:paraId="4B12B403" w14:textId="77777777" w:rsidR="007743CF" w:rsidRPr="00DB11AE" w:rsidRDefault="007743CF" w:rsidP="00DB11AE">
            <w:pPr>
              <w:spacing w:before="60" w:after="60"/>
              <w:rPr>
                <w:rFonts w:ascii="Cambria" w:hAnsi="Cambria"/>
                <w:i/>
              </w:rPr>
            </w:pPr>
            <w:r w:rsidRPr="00DB11AE">
              <w:rPr>
                <w:rFonts w:ascii="Cambria" w:hAnsi="Cambria"/>
                <w:i/>
              </w:rPr>
              <w:t>TBD–To be determined; (p) – preliminary estimate; (r) - revised</w:t>
            </w:r>
          </w:p>
        </w:tc>
      </w:tr>
    </w:tbl>
    <w:p w14:paraId="66A9F242" w14:textId="77777777" w:rsidR="0051127F" w:rsidRDefault="0051127F" w:rsidP="009F3E88">
      <w:pPr>
        <w:spacing w:before="60" w:after="60"/>
        <w:rPr>
          <w:rFonts w:ascii="Cambria" w:hAnsi="Cambria"/>
        </w:rPr>
      </w:pPr>
      <w:bookmarkStart w:id="2" w:name="_GoBack"/>
      <w:bookmarkEnd w:id="2"/>
    </w:p>
    <w:p w14:paraId="76F71413" w14:textId="2F2D730C" w:rsidR="00984CBF" w:rsidRDefault="009C1634" w:rsidP="009F3E88">
      <w:pPr>
        <w:spacing w:before="60" w:after="60"/>
        <w:rPr>
          <w:rFonts w:ascii="Cambria" w:hAnsi="Cambria"/>
        </w:rPr>
      </w:pPr>
      <w:r w:rsidRPr="00F91078">
        <w:rPr>
          <w:rFonts w:ascii="Cambria" w:hAnsi="Cambria"/>
        </w:rPr>
        <w:lastRenderedPageBreak/>
        <w:t>Strategic Objective #6</w:t>
      </w:r>
      <w:r w:rsidR="00F91078" w:rsidRPr="00F91078">
        <w:rPr>
          <w:rFonts w:ascii="Cambria" w:hAnsi="Cambria"/>
        </w:rPr>
        <w:t>: Transform the workforce and resource management approach to ensure the agency is properly structured, skilled and equipped to deliver outstanding customer service to our partners and the traveling public.</w:t>
      </w:r>
      <w:r w:rsidR="009F3E88">
        <w:rPr>
          <w:rFonts w:ascii="Cambria" w:hAnsi="Cambria"/>
        </w:rPr>
        <w:t xml:space="preserve"> </w:t>
      </w:r>
    </w:p>
    <w:p w14:paraId="7DA35C69" w14:textId="77777777" w:rsidR="005C5F9D" w:rsidRDefault="005C5F9D" w:rsidP="009F3E88">
      <w:pPr>
        <w:spacing w:before="60" w:after="60"/>
        <w:rPr>
          <w:rFonts w:ascii="Cambria" w:hAnsi="Cambria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7"/>
        <w:gridCol w:w="1800"/>
        <w:gridCol w:w="1260"/>
        <w:gridCol w:w="1260"/>
        <w:gridCol w:w="1080"/>
        <w:gridCol w:w="1373"/>
      </w:tblGrid>
      <w:tr w:rsidR="00EF7CC4" w:rsidRPr="006A6945" w14:paraId="3C99CAA6" w14:textId="77777777" w:rsidTr="001151EA">
        <w:trPr>
          <w:trHeight w:val="504"/>
          <w:tblHeader/>
        </w:trPr>
        <w:tc>
          <w:tcPr>
            <w:tcW w:w="2947" w:type="dxa"/>
            <w:vAlign w:val="center"/>
          </w:tcPr>
          <w:p w14:paraId="7FCA1D67" w14:textId="578B6037" w:rsidR="002A17CA" w:rsidRPr="006A6945" w:rsidRDefault="00F774CC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7743CF">
              <w:rPr>
                <w:rFonts w:ascii="Cambria" w:hAnsi="Cambria"/>
                <w:sz w:val="22"/>
                <w:szCs w:val="22"/>
              </w:rPr>
              <w:t xml:space="preserve">Performance </w:t>
            </w:r>
            <w:r>
              <w:rPr>
                <w:rFonts w:ascii="Cambria" w:hAnsi="Cambria"/>
                <w:sz w:val="22"/>
                <w:szCs w:val="22"/>
              </w:rPr>
              <w:t>Indicator</w:t>
            </w:r>
          </w:p>
        </w:tc>
        <w:tc>
          <w:tcPr>
            <w:tcW w:w="1800" w:type="dxa"/>
            <w:vAlign w:val="center"/>
          </w:tcPr>
          <w:p w14:paraId="07D6E60B" w14:textId="77777777" w:rsidR="002A17CA" w:rsidRPr="006A6945" w:rsidRDefault="002A17CA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6A6945">
              <w:rPr>
                <w:rFonts w:ascii="Cambria" w:hAnsi="Cambria"/>
              </w:rPr>
              <w:t>Lead Office</w:t>
            </w:r>
          </w:p>
        </w:tc>
        <w:tc>
          <w:tcPr>
            <w:tcW w:w="1260" w:type="dxa"/>
            <w:vAlign w:val="center"/>
          </w:tcPr>
          <w:p w14:paraId="5A43DD94" w14:textId="77777777" w:rsidR="002A17CA" w:rsidRPr="006A6945" w:rsidRDefault="002A17CA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6A6945">
              <w:rPr>
                <w:rFonts w:ascii="Cambria" w:hAnsi="Cambria"/>
              </w:rPr>
              <w:t>2018 Baseline</w:t>
            </w:r>
          </w:p>
        </w:tc>
        <w:tc>
          <w:tcPr>
            <w:tcW w:w="1260" w:type="dxa"/>
            <w:vAlign w:val="center"/>
          </w:tcPr>
          <w:p w14:paraId="78986FB2" w14:textId="77777777" w:rsidR="002A17CA" w:rsidRPr="006A6945" w:rsidRDefault="002A17CA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6A6945">
              <w:rPr>
                <w:rFonts w:ascii="Cambria" w:hAnsi="Cambria"/>
              </w:rPr>
              <w:t>2019 Target</w:t>
            </w:r>
          </w:p>
        </w:tc>
        <w:tc>
          <w:tcPr>
            <w:tcW w:w="1080" w:type="dxa"/>
            <w:vAlign w:val="center"/>
          </w:tcPr>
          <w:p w14:paraId="0B020650" w14:textId="77777777" w:rsidR="002A17CA" w:rsidRPr="006A6945" w:rsidRDefault="002A17CA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6A6945">
              <w:rPr>
                <w:rFonts w:ascii="Cambria" w:hAnsi="Cambria"/>
              </w:rPr>
              <w:t>2020 Target</w:t>
            </w:r>
          </w:p>
        </w:tc>
        <w:tc>
          <w:tcPr>
            <w:tcW w:w="1373" w:type="dxa"/>
            <w:vAlign w:val="center"/>
          </w:tcPr>
          <w:p w14:paraId="67B8EE45" w14:textId="77777777" w:rsidR="002A17CA" w:rsidRPr="006A6945" w:rsidRDefault="002A17CA" w:rsidP="009F3E88">
            <w:pPr>
              <w:spacing w:before="60" w:after="60"/>
              <w:jc w:val="center"/>
              <w:rPr>
                <w:rFonts w:ascii="Cambria" w:hAnsi="Cambria"/>
              </w:rPr>
            </w:pPr>
            <w:r w:rsidRPr="006A6945">
              <w:rPr>
                <w:rFonts w:ascii="Cambria" w:hAnsi="Cambria"/>
              </w:rPr>
              <w:t>Reporting Frequency</w:t>
            </w:r>
          </w:p>
        </w:tc>
      </w:tr>
      <w:tr w:rsidR="00EF7CC4" w:rsidRPr="006A6945" w14:paraId="0A75E1E3" w14:textId="77777777" w:rsidTr="001151EA">
        <w:trPr>
          <w:trHeight w:val="504"/>
        </w:trPr>
        <w:tc>
          <w:tcPr>
            <w:tcW w:w="2947" w:type="dxa"/>
            <w:vAlign w:val="center"/>
          </w:tcPr>
          <w:p w14:paraId="74B4BA07" w14:textId="52979A63" w:rsidR="00AC4883" w:rsidRPr="0051127F" w:rsidRDefault="00AC4883" w:rsidP="00AC4883">
            <w:pPr>
              <w:spacing w:after="120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Effective Leadership score</w:t>
            </w:r>
          </w:p>
        </w:tc>
        <w:tc>
          <w:tcPr>
            <w:tcW w:w="1800" w:type="dxa"/>
            <w:vAlign w:val="center"/>
          </w:tcPr>
          <w:p w14:paraId="54519348" w14:textId="2FB40F1C" w:rsidR="00AC4883" w:rsidRPr="0051127F" w:rsidRDefault="005C5F9D" w:rsidP="00AC4883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Administration</w:t>
            </w:r>
          </w:p>
        </w:tc>
        <w:tc>
          <w:tcPr>
            <w:tcW w:w="1260" w:type="dxa"/>
            <w:vAlign w:val="center"/>
          </w:tcPr>
          <w:p w14:paraId="588C0AFE" w14:textId="3213BF95" w:rsidR="00AC4883" w:rsidRPr="0051127F" w:rsidRDefault="00E57D77" w:rsidP="00AC4883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70.8</w:t>
            </w:r>
          </w:p>
        </w:tc>
        <w:tc>
          <w:tcPr>
            <w:tcW w:w="1260" w:type="dxa"/>
            <w:vAlign w:val="center"/>
          </w:tcPr>
          <w:p w14:paraId="0F8EAA50" w14:textId="28ECB8ED" w:rsidR="00AC4883" w:rsidRPr="00AA4DB3" w:rsidRDefault="00E57D77" w:rsidP="00AC4883">
            <w:pPr>
              <w:spacing w:before="60" w:after="60"/>
              <w:jc w:val="center"/>
              <w:rPr>
                <w:rFonts w:ascii="Cambria" w:hAnsi="Cambria" w:cs="Calibri"/>
                <w:color w:val="FF0000"/>
              </w:rPr>
            </w:pPr>
            <w:r w:rsidRPr="00E57D77">
              <w:rPr>
                <w:rFonts w:ascii="Cambria" w:hAnsi="Cambria" w:cs="Calibri"/>
                <w:color w:val="000000" w:themeColor="text1"/>
              </w:rPr>
              <w:t>71.0</w:t>
            </w:r>
          </w:p>
        </w:tc>
        <w:tc>
          <w:tcPr>
            <w:tcW w:w="1080" w:type="dxa"/>
            <w:vAlign w:val="center"/>
          </w:tcPr>
          <w:p w14:paraId="6F287216" w14:textId="4CD25033" w:rsidR="00AC4883" w:rsidRPr="0051127F" w:rsidRDefault="00AC4883" w:rsidP="00AC4883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373" w:type="dxa"/>
            <w:vAlign w:val="center"/>
          </w:tcPr>
          <w:p w14:paraId="7DADAA94" w14:textId="3B5B8719" w:rsidR="00AC4883" w:rsidRPr="0051127F" w:rsidRDefault="00AC4883" w:rsidP="00AC4883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Semi-annual</w:t>
            </w:r>
          </w:p>
        </w:tc>
      </w:tr>
      <w:tr w:rsidR="00EF7CC4" w:rsidRPr="006A6945" w14:paraId="2A3F073C" w14:textId="77777777" w:rsidTr="001151EA">
        <w:trPr>
          <w:trHeight w:val="504"/>
        </w:trPr>
        <w:tc>
          <w:tcPr>
            <w:tcW w:w="2947" w:type="dxa"/>
            <w:vAlign w:val="center"/>
          </w:tcPr>
          <w:p w14:paraId="67676727" w14:textId="32F20CDF" w:rsidR="005C5F9D" w:rsidRPr="0051127F" w:rsidRDefault="005C5F9D" w:rsidP="005C5F9D">
            <w:pPr>
              <w:spacing w:after="120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Percent of offices that provided training or facilitated discussion on Emotional Intelligence.</w:t>
            </w:r>
          </w:p>
        </w:tc>
        <w:tc>
          <w:tcPr>
            <w:tcW w:w="1800" w:type="dxa"/>
            <w:vAlign w:val="center"/>
          </w:tcPr>
          <w:p w14:paraId="04ED2B06" w14:textId="69772312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Administration</w:t>
            </w:r>
          </w:p>
        </w:tc>
        <w:tc>
          <w:tcPr>
            <w:tcW w:w="1260" w:type="dxa"/>
            <w:vAlign w:val="center"/>
          </w:tcPr>
          <w:p w14:paraId="19982F38" w14:textId="5586CF27" w:rsidR="005C5F9D" w:rsidRPr="006D1D4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N/A</w:t>
            </w:r>
          </w:p>
        </w:tc>
        <w:tc>
          <w:tcPr>
            <w:tcW w:w="1260" w:type="dxa"/>
            <w:vAlign w:val="center"/>
          </w:tcPr>
          <w:p w14:paraId="7E5826FF" w14:textId="26D52B11" w:rsidR="005C5F9D" w:rsidRPr="006D1D4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6D1D4F">
              <w:rPr>
                <w:rFonts w:ascii="Cambria" w:hAnsi="Cambria" w:cs="Calibri"/>
              </w:rPr>
              <w:t>85%</w:t>
            </w:r>
          </w:p>
        </w:tc>
        <w:tc>
          <w:tcPr>
            <w:tcW w:w="1080" w:type="dxa"/>
            <w:vAlign w:val="center"/>
          </w:tcPr>
          <w:p w14:paraId="16DCF28F" w14:textId="415AAA5D" w:rsidR="005C5F9D" w:rsidRPr="006D1D4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6D1D4F">
              <w:rPr>
                <w:rFonts w:ascii="Cambria" w:hAnsi="Cambria" w:cs="Calibri"/>
              </w:rPr>
              <w:t>TBD</w:t>
            </w:r>
          </w:p>
        </w:tc>
        <w:tc>
          <w:tcPr>
            <w:tcW w:w="1373" w:type="dxa"/>
            <w:vAlign w:val="center"/>
          </w:tcPr>
          <w:p w14:paraId="35521D69" w14:textId="4E469B49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Semi-annual</w:t>
            </w:r>
          </w:p>
        </w:tc>
      </w:tr>
      <w:tr w:rsidR="00EF7CC4" w:rsidRPr="006A6945" w14:paraId="4283597F" w14:textId="77777777" w:rsidTr="001151EA">
        <w:trPr>
          <w:trHeight w:val="504"/>
        </w:trPr>
        <w:tc>
          <w:tcPr>
            <w:tcW w:w="2947" w:type="dxa"/>
            <w:vAlign w:val="center"/>
          </w:tcPr>
          <w:p w14:paraId="73000643" w14:textId="342E306C" w:rsidR="005C5F9D" w:rsidRPr="0051127F" w:rsidRDefault="005C5F9D" w:rsidP="005C5F9D">
            <w:pPr>
              <w:spacing w:after="12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eastAsia="Times New Roman" w:hAnsi="Cambria" w:cs="Calibri"/>
              </w:rPr>
              <w:t>FMCSA procurement actions that are awarded within FHWA’s Procurement Action Lead Time (PALT) standard.</w:t>
            </w:r>
          </w:p>
        </w:tc>
        <w:tc>
          <w:tcPr>
            <w:tcW w:w="1800" w:type="dxa"/>
            <w:vAlign w:val="center"/>
          </w:tcPr>
          <w:p w14:paraId="62FD2EE0" w14:textId="50F71CB5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Chief Financial Officer</w:t>
            </w:r>
          </w:p>
        </w:tc>
        <w:tc>
          <w:tcPr>
            <w:tcW w:w="1260" w:type="dxa"/>
            <w:vAlign w:val="center"/>
          </w:tcPr>
          <w:p w14:paraId="25FC2F01" w14:textId="77777777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260" w:type="dxa"/>
            <w:vAlign w:val="center"/>
          </w:tcPr>
          <w:p w14:paraId="56A3F4DB" w14:textId="1466090D" w:rsidR="005C5F9D" w:rsidRPr="00AC4883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AC4883">
              <w:rPr>
                <w:rFonts w:ascii="Cambria" w:hAnsi="Cambria" w:cs="Calibri"/>
              </w:rPr>
              <w:t>65%</w:t>
            </w:r>
          </w:p>
        </w:tc>
        <w:tc>
          <w:tcPr>
            <w:tcW w:w="1080" w:type="dxa"/>
            <w:vAlign w:val="center"/>
          </w:tcPr>
          <w:p w14:paraId="6AF557F0" w14:textId="77777777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373" w:type="dxa"/>
            <w:vAlign w:val="center"/>
          </w:tcPr>
          <w:p w14:paraId="613B7EFB" w14:textId="77777777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51127F">
              <w:rPr>
                <w:rFonts w:ascii="Cambria" w:hAnsi="Cambria" w:cs="Calibri"/>
              </w:rPr>
              <w:t>Semi-annual</w:t>
            </w:r>
          </w:p>
        </w:tc>
      </w:tr>
      <w:tr w:rsidR="00EF7CC4" w:rsidRPr="0051127F" w14:paraId="627AFD0F" w14:textId="77777777" w:rsidTr="001151EA">
        <w:trPr>
          <w:trHeight w:val="504"/>
        </w:trPr>
        <w:tc>
          <w:tcPr>
            <w:tcW w:w="2947" w:type="dxa"/>
            <w:vAlign w:val="center"/>
          </w:tcPr>
          <w:p w14:paraId="2C71081D" w14:textId="05D2CC90" w:rsidR="005C5F9D" w:rsidRPr="0051127F" w:rsidRDefault="005C5F9D" w:rsidP="005C5F9D">
            <w:pPr>
              <w:jc w:val="center"/>
              <w:rPr>
                <w:rFonts w:ascii="Cambria" w:hAnsi="Cambria" w:cstheme="minorHAnsi"/>
                <w:color w:val="333333"/>
              </w:rPr>
            </w:pPr>
            <w:r w:rsidRPr="0051127F">
              <w:rPr>
                <w:rFonts w:ascii="Cambria" w:eastAsia="Times New Roman" w:hAnsi="Cambria"/>
              </w:rPr>
              <w:t>IT Acquisitio</w:t>
            </w:r>
            <w:r>
              <w:rPr>
                <w:rFonts w:ascii="Cambria" w:eastAsia="Times New Roman" w:hAnsi="Cambria"/>
              </w:rPr>
              <w:t xml:space="preserve">n Center of Excellence </w:t>
            </w:r>
            <w:r w:rsidRPr="0051127F">
              <w:rPr>
                <w:rFonts w:ascii="Cambria" w:eastAsia="Times New Roman" w:hAnsi="Cambria"/>
              </w:rPr>
              <w:t>procurement actions that are awarded within FHWA’s PALT standard.</w:t>
            </w:r>
          </w:p>
        </w:tc>
        <w:tc>
          <w:tcPr>
            <w:tcW w:w="1800" w:type="dxa"/>
            <w:vAlign w:val="center"/>
          </w:tcPr>
          <w:p w14:paraId="075117D5" w14:textId="00767262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="Calibri"/>
              </w:rPr>
              <w:t>Chief Financial Officer</w:t>
            </w:r>
          </w:p>
        </w:tc>
        <w:tc>
          <w:tcPr>
            <w:tcW w:w="1260" w:type="dxa"/>
            <w:vAlign w:val="center"/>
          </w:tcPr>
          <w:p w14:paraId="4D0BEAF2" w14:textId="0DD06DC8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260" w:type="dxa"/>
            <w:vAlign w:val="center"/>
          </w:tcPr>
          <w:p w14:paraId="5D4111F7" w14:textId="4CB4B50A" w:rsidR="005C5F9D" w:rsidRPr="00AC4883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AC4883">
              <w:rPr>
                <w:rFonts w:ascii="Cambria" w:hAnsi="Cambria" w:cstheme="minorHAnsi"/>
              </w:rPr>
              <w:t>70%</w:t>
            </w:r>
          </w:p>
        </w:tc>
        <w:tc>
          <w:tcPr>
            <w:tcW w:w="1080" w:type="dxa"/>
            <w:vAlign w:val="center"/>
          </w:tcPr>
          <w:p w14:paraId="245B1895" w14:textId="153B08A8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373" w:type="dxa"/>
            <w:vAlign w:val="center"/>
          </w:tcPr>
          <w:p w14:paraId="55CADC87" w14:textId="56457F31" w:rsidR="005C5F9D" w:rsidRPr="0051127F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Semi-annual</w:t>
            </w:r>
          </w:p>
        </w:tc>
      </w:tr>
      <w:tr w:rsidR="00EF7CC4" w:rsidRPr="006A6945" w14:paraId="32CDB7AE" w14:textId="77777777" w:rsidTr="001151EA">
        <w:trPr>
          <w:trHeight w:val="504"/>
        </w:trPr>
        <w:tc>
          <w:tcPr>
            <w:tcW w:w="2947" w:type="dxa"/>
            <w:vAlign w:val="center"/>
          </w:tcPr>
          <w:p w14:paraId="440D2FB5" w14:textId="77777777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6A6945">
              <w:rPr>
                <w:rFonts w:ascii="Cambria" w:hAnsi="Cambria" w:cstheme="minorHAnsi"/>
                <w:color w:val="333333"/>
              </w:rPr>
              <w:t xml:space="preserve">Disciplines complete designated percentage of the 5 development framework activities </w:t>
            </w:r>
            <w:r w:rsidRPr="006A6945">
              <w:rPr>
                <w:rFonts w:ascii="Cambria" w:hAnsi="Cambria" w:cstheme="minorHAnsi"/>
                <w:i/>
              </w:rPr>
              <w:t>(*- see note below)</w:t>
            </w:r>
          </w:p>
        </w:tc>
        <w:tc>
          <w:tcPr>
            <w:tcW w:w="1800" w:type="dxa"/>
            <w:vAlign w:val="center"/>
          </w:tcPr>
          <w:p w14:paraId="48EC1309" w14:textId="2ABE3C1C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Technical Services</w:t>
            </w:r>
          </w:p>
        </w:tc>
        <w:tc>
          <w:tcPr>
            <w:tcW w:w="1260" w:type="dxa"/>
            <w:vAlign w:val="center"/>
          </w:tcPr>
          <w:p w14:paraId="23A329C5" w14:textId="62A27787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260" w:type="dxa"/>
            <w:vAlign w:val="center"/>
          </w:tcPr>
          <w:p w14:paraId="45863AD1" w14:textId="496B460D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="Calibri"/>
              </w:rPr>
              <w:t>60%</w:t>
            </w:r>
          </w:p>
        </w:tc>
        <w:tc>
          <w:tcPr>
            <w:tcW w:w="1080" w:type="dxa"/>
            <w:vAlign w:val="center"/>
          </w:tcPr>
          <w:p w14:paraId="498B2C02" w14:textId="14C7C0DE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TBD</w:t>
            </w:r>
          </w:p>
        </w:tc>
        <w:tc>
          <w:tcPr>
            <w:tcW w:w="1373" w:type="dxa"/>
            <w:vAlign w:val="center"/>
          </w:tcPr>
          <w:p w14:paraId="7B241886" w14:textId="432D64E6" w:rsidR="005C5F9D" w:rsidRPr="006A6945" w:rsidRDefault="005C5F9D" w:rsidP="005C5F9D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51127F">
              <w:rPr>
                <w:rFonts w:ascii="Cambria" w:hAnsi="Cambria" w:cs="Calibri"/>
              </w:rPr>
              <w:t>Semi-annual</w:t>
            </w:r>
          </w:p>
        </w:tc>
      </w:tr>
      <w:tr w:rsidR="005C5F9D" w:rsidRPr="001F75EE" w14:paraId="08743544" w14:textId="77777777" w:rsidTr="00EF7CC4">
        <w:trPr>
          <w:trHeight w:val="504"/>
        </w:trPr>
        <w:tc>
          <w:tcPr>
            <w:tcW w:w="9720" w:type="dxa"/>
            <w:gridSpan w:val="6"/>
            <w:vAlign w:val="center"/>
          </w:tcPr>
          <w:p w14:paraId="190C5060" w14:textId="7B0D348A" w:rsidR="005C5F9D" w:rsidRPr="006A6945" w:rsidRDefault="005C5F9D" w:rsidP="005C5F9D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A6945">
              <w:rPr>
                <w:rFonts w:ascii="Cambria" w:hAnsi="Cambria" w:cstheme="minorHAnsi"/>
                <w:i/>
                <w:sz w:val="22"/>
                <w:szCs w:val="22"/>
              </w:rPr>
              <w:t xml:space="preserve">Note: </w:t>
            </w:r>
            <w:r w:rsidRPr="006A6945">
              <w:rPr>
                <w:rFonts w:ascii="Cambria" w:hAnsi="Cambria" w:cstheme="minorHAnsi"/>
                <w:i/>
                <w:color w:val="333333"/>
                <w:sz w:val="22"/>
                <w:szCs w:val="22"/>
              </w:rPr>
              <w:t>Activities are: 1) an u</w:t>
            </w:r>
            <w:r w:rsidRPr="006A6945">
              <w:rPr>
                <w:rFonts w:ascii="Cambria" w:hAnsi="Cambria" w:cstheme="minorHAnsi"/>
                <w:i/>
                <w:sz w:val="22"/>
                <w:szCs w:val="22"/>
              </w:rPr>
              <w:t xml:space="preserve">pdated </w:t>
            </w:r>
            <w:r w:rsidRPr="006A6945">
              <w:rPr>
                <w:rFonts w:ascii="Cambria" w:hAnsi="Cambria" w:cstheme="minorHAnsi"/>
                <w:i/>
                <w:color w:val="333333"/>
                <w:sz w:val="22"/>
                <w:szCs w:val="22"/>
              </w:rPr>
              <w:t>L</w:t>
            </w:r>
            <w:r>
              <w:rPr>
                <w:rFonts w:ascii="Cambria" w:hAnsi="Cambria" w:cstheme="minorHAnsi"/>
                <w:i/>
                <w:color w:val="333333"/>
                <w:sz w:val="22"/>
                <w:szCs w:val="22"/>
              </w:rPr>
              <w:t>earning &amp; Development</w:t>
            </w:r>
            <w:r w:rsidRPr="006A6945">
              <w:rPr>
                <w:rFonts w:ascii="Cambria" w:hAnsi="Cambria" w:cstheme="minorHAnsi"/>
                <w:i/>
                <w:color w:val="333333"/>
                <w:sz w:val="22"/>
                <w:szCs w:val="22"/>
              </w:rPr>
              <w:t xml:space="preserve"> strategy, 2) Competency assessment, 3) Succession plan, 4: Peer assessment, and 5) Discipline seminar.</w:t>
            </w:r>
          </w:p>
        </w:tc>
      </w:tr>
      <w:tr w:rsidR="005C5F9D" w:rsidRPr="001F75EE" w14:paraId="51396BC7" w14:textId="77777777" w:rsidTr="00EF7CC4">
        <w:trPr>
          <w:trHeight w:val="504"/>
        </w:trPr>
        <w:tc>
          <w:tcPr>
            <w:tcW w:w="9720" w:type="dxa"/>
            <w:gridSpan w:val="6"/>
            <w:vAlign w:val="center"/>
          </w:tcPr>
          <w:p w14:paraId="6D2C22A1" w14:textId="2540F378" w:rsidR="005C5F9D" w:rsidRPr="006A6945" w:rsidRDefault="005C5F9D" w:rsidP="005C5F9D">
            <w:pPr>
              <w:spacing w:before="60" w:after="6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6A6945">
              <w:rPr>
                <w:rFonts w:ascii="Cambria" w:hAnsi="Cambria" w:cstheme="minorHAnsi"/>
                <w:i/>
                <w:sz w:val="22"/>
                <w:szCs w:val="22"/>
              </w:rPr>
              <w:t xml:space="preserve">TBD–To be determined; (p) – preliminary estimate; (r) </w:t>
            </w:r>
            <w:r>
              <w:rPr>
                <w:rFonts w:ascii="Cambria" w:hAnsi="Cambria" w:cstheme="minorHAnsi"/>
                <w:i/>
                <w:sz w:val="22"/>
                <w:szCs w:val="22"/>
              </w:rPr>
              <w:t>–</w:t>
            </w:r>
            <w:r w:rsidRPr="006A6945">
              <w:rPr>
                <w:rFonts w:ascii="Cambria" w:hAnsi="Cambria" w:cstheme="minorHAnsi"/>
                <w:i/>
                <w:sz w:val="22"/>
                <w:szCs w:val="22"/>
              </w:rPr>
              <w:t xml:space="preserve"> revised</w:t>
            </w:r>
            <w:r>
              <w:rPr>
                <w:rFonts w:ascii="Cambria" w:hAnsi="Cambria" w:cstheme="minorHAnsi"/>
                <w:i/>
                <w:sz w:val="22"/>
                <w:szCs w:val="22"/>
              </w:rPr>
              <w:t>; N/A – Not available, new indicator.</w:t>
            </w:r>
          </w:p>
        </w:tc>
      </w:tr>
    </w:tbl>
    <w:p w14:paraId="22E8A3B6" w14:textId="77777777" w:rsidR="00A46B0A" w:rsidRDefault="00A46B0A" w:rsidP="005D3461"/>
    <w:sectPr w:rsidR="00A46B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5CB3" w14:textId="77777777" w:rsidR="00D61293" w:rsidRDefault="00D61293" w:rsidP="00347728">
      <w:r>
        <w:separator/>
      </w:r>
    </w:p>
  </w:endnote>
  <w:endnote w:type="continuationSeparator" w:id="0">
    <w:p w14:paraId="2445C706" w14:textId="77777777" w:rsidR="00D61293" w:rsidRDefault="00D61293" w:rsidP="003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5135" w14:textId="09341606" w:rsidR="00A46B0A" w:rsidRPr="00821191" w:rsidRDefault="00A46B0A">
    <w:pPr>
      <w:pStyle w:val="Footer"/>
      <w:rPr>
        <w:sz w:val="22"/>
        <w:szCs w:val="22"/>
      </w:rPr>
    </w:pPr>
    <w:r w:rsidRPr="00821191">
      <w:rPr>
        <w:sz w:val="22"/>
        <w:szCs w:val="22"/>
      </w:rPr>
      <w:t>Publication No. FHWA-PL-18-025</w:t>
    </w:r>
    <w:r w:rsidR="00821191">
      <w:rPr>
        <w:sz w:val="22"/>
        <w:szCs w:val="22"/>
      </w:rPr>
      <w:t xml:space="preserve"> (Attachment A)</w:t>
    </w:r>
    <w:r w:rsidR="00821191">
      <w:rPr>
        <w:sz w:val="22"/>
        <w:szCs w:val="22"/>
      </w:rPr>
      <w:tab/>
    </w:r>
    <w:r w:rsidRPr="00821191">
      <w:rPr>
        <w:sz w:val="22"/>
        <w:szCs w:val="22"/>
      </w:rPr>
      <w:tab/>
    </w:r>
    <w:r w:rsidR="00EF7CC4">
      <w:rPr>
        <w:sz w:val="22"/>
        <w:szCs w:val="22"/>
      </w:rPr>
      <w:t>April 2</w:t>
    </w:r>
    <w:r w:rsidRPr="00821191">
      <w:rPr>
        <w:sz w:val="22"/>
        <w:szCs w:val="22"/>
      </w:rPr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A40D" w14:textId="77777777" w:rsidR="00D61293" w:rsidRDefault="00D61293" w:rsidP="00347728">
      <w:r>
        <w:separator/>
      </w:r>
    </w:p>
  </w:footnote>
  <w:footnote w:type="continuationSeparator" w:id="0">
    <w:p w14:paraId="1220DA1B" w14:textId="77777777" w:rsidR="00D61293" w:rsidRDefault="00D61293" w:rsidP="003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9E"/>
    <w:multiLevelType w:val="hybridMultilevel"/>
    <w:tmpl w:val="F9B07942"/>
    <w:lvl w:ilvl="0" w:tplc="FB3C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F87"/>
    <w:multiLevelType w:val="hybridMultilevel"/>
    <w:tmpl w:val="4F2231C6"/>
    <w:lvl w:ilvl="0" w:tplc="AFEED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2246"/>
    <w:multiLevelType w:val="hybridMultilevel"/>
    <w:tmpl w:val="74123714"/>
    <w:lvl w:ilvl="0" w:tplc="FE3259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0806"/>
    <w:multiLevelType w:val="hybridMultilevel"/>
    <w:tmpl w:val="1D50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8"/>
    <w:rsid w:val="00026C46"/>
    <w:rsid w:val="000855C6"/>
    <w:rsid w:val="000D0A68"/>
    <w:rsid w:val="000F7830"/>
    <w:rsid w:val="001151EA"/>
    <w:rsid w:val="001B46FE"/>
    <w:rsid w:val="00200EC0"/>
    <w:rsid w:val="00205A54"/>
    <w:rsid w:val="00213C0A"/>
    <w:rsid w:val="0025238F"/>
    <w:rsid w:val="00255490"/>
    <w:rsid w:val="002708BB"/>
    <w:rsid w:val="002A17CA"/>
    <w:rsid w:val="002A31B8"/>
    <w:rsid w:val="002B5DDA"/>
    <w:rsid w:val="002C32B2"/>
    <w:rsid w:val="002D1596"/>
    <w:rsid w:val="00323442"/>
    <w:rsid w:val="00347728"/>
    <w:rsid w:val="003D1235"/>
    <w:rsid w:val="003D4C7B"/>
    <w:rsid w:val="00403C6E"/>
    <w:rsid w:val="004106B4"/>
    <w:rsid w:val="004168FB"/>
    <w:rsid w:val="00455BB9"/>
    <w:rsid w:val="004B1930"/>
    <w:rsid w:val="004B33C5"/>
    <w:rsid w:val="004F0564"/>
    <w:rsid w:val="004F1231"/>
    <w:rsid w:val="0051127F"/>
    <w:rsid w:val="005C2314"/>
    <w:rsid w:val="005C5F9D"/>
    <w:rsid w:val="005D3461"/>
    <w:rsid w:val="0060551D"/>
    <w:rsid w:val="00622396"/>
    <w:rsid w:val="0063129D"/>
    <w:rsid w:val="0063354B"/>
    <w:rsid w:val="00676580"/>
    <w:rsid w:val="00682865"/>
    <w:rsid w:val="00691074"/>
    <w:rsid w:val="006A6945"/>
    <w:rsid w:val="006B5B02"/>
    <w:rsid w:val="006D1D4F"/>
    <w:rsid w:val="007020BD"/>
    <w:rsid w:val="00755A72"/>
    <w:rsid w:val="007743CF"/>
    <w:rsid w:val="007969EA"/>
    <w:rsid w:val="00821191"/>
    <w:rsid w:val="008323C9"/>
    <w:rsid w:val="008A6EAD"/>
    <w:rsid w:val="008F0F1A"/>
    <w:rsid w:val="00973D12"/>
    <w:rsid w:val="00984CBF"/>
    <w:rsid w:val="009C1634"/>
    <w:rsid w:val="009F3E88"/>
    <w:rsid w:val="00A07AE7"/>
    <w:rsid w:val="00A2705A"/>
    <w:rsid w:val="00A46B0A"/>
    <w:rsid w:val="00A5455B"/>
    <w:rsid w:val="00A60847"/>
    <w:rsid w:val="00AA4DB3"/>
    <w:rsid w:val="00AB1DC3"/>
    <w:rsid w:val="00AC2898"/>
    <w:rsid w:val="00AC4883"/>
    <w:rsid w:val="00AF50CF"/>
    <w:rsid w:val="00B10DA7"/>
    <w:rsid w:val="00B210A4"/>
    <w:rsid w:val="00B27721"/>
    <w:rsid w:val="00B32200"/>
    <w:rsid w:val="00B36212"/>
    <w:rsid w:val="00B41870"/>
    <w:rsid w:val="00B83F6D"/>
    <w:rsid w:val="00BB4A77"/>
    <w:rsid w:val="00BE02A1"/>
    <w:rsid w:val="00BF4645"/>
    <w:rsid w:val="00C304CE"/>
    <w:rsid w:val="00C65207"/>
    <w:rsid w:val="00C67A42"/>
    <w:rsid w:val="00C84CCC"/>
    <w:rsid w:val="00D344BD"/>
    <w:rsid w:val="00D61293"/>
    <w:rsid w:val="00D72545"/>
    <w:rsid w:val="00DB11AE"/>
    <w:rsid w:val="00DB7C7E"/>
    <w:rsid w:val="00DC7F1E"/>
    <w:rsid w:val="00DD7FC7"/>
    <w:rsid w:val="00DE75CC"/>
    <w:rsid w:val="00DF7874"/>
    <w:rsid w:val="00E57D77"/>
    <w:rsid w:val="00E75FC2"/>
    <w:rsid w:val="00EA5C13"/>
    <w:rsid w:val="00EB5864"/>
    <w:rsid w:val="00EC5D41"/>
    <w:rsid w:val="00EE0B42"/>
    <w:rsid w:val="00EF2BEB"/>
    <w:rsid w:val="00EF7CC4"/>
    <w:rsid w:val="00F13104"/>
    <w:rsid w:val="00F26F15"/>
    <w:rsid w:val="00F774CC"/>
    <w:rsid w:val="00F91078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B54D"/>
  <w15:chartTrackingRefBased/>
  <w15:docId w15:val="{5EB968F5-B3A1-4FF8-99E3-78EBFBC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7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93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30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3477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7728"/>
    <w:rPr>
      <w:color w:val="0000FF" w:themeColor="hyperlink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link w:val="ListParagraph"/>
    <w:uiPriority w:val="34"/>
    <w:rsid w:val="00347728"/>
  </w:style>
  <w:style w:type="table" w:styleId="TableGrid">
    <w:name w:val="Table Grid"/>
    <w:basedOn w:val="TableNormal"/>
    <w:uiPriority w:val="59"/>
    <w:rsid w:val="0034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4772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477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77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89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0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ce8d3514e91bd0d2111ef0172ffcf5bf&amp;mc=true&amp;n=pt23.1.490&amp;r=PART&amp;ty=HTML%20-%20se23.1.490_1107%20-%20sp23.1.490.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8166-70E8-4201-891D-D4BA336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Stanley</dc:creator>
  <cp:keywords/>
  <dc:description/>
  <cp:lastModifiedBy>Woody Stanley</cp:lastModifiedBy>
  <cp:revision>2</cp:revision>
  <cp:lastPrinted>2018-09-14T18:32:00Z</cp:lastPrinted>
  <dcterms:created xsi:type="dcterms:W3CDTF">2019-06-04T19:46:00Z</dcterms:created>
  <dcterms:modified xsi:type="dcterms:W3CDTF">2019-06-04T19:46:00Z</dcterms:modified>
</cp:coreProperties>
</file>